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FD4B" w14:textId="0B4EE9B1" w:rsidR="00F2764A" w:rsidRDefault="009B2682">
      <w:pPr>
        <w:rPr>
          <w:rFonts w:ascii="Proxima Nova" w:hAnsi="Proxima Nova" w:cstheme="minorBidi"/>
        </w:rPr>
      </w:pPr>
    </w:p>
    <w:p w14:paraId="6D67F1CE" w14:textId="47B4691E" w:rsidR="002E7DD9" w:rsidRDefault="002E7DD9">
      <w:pPr>
        <w:rPr>
          <w:rFonts w:ascii="Proxima Nova" w:hAnsi="Proxima Nova" w:cstheme="minorBidi"/>
        </w:rPr>
      </w:pPr>
    </w:p>
    <w:p w14:paraId="30098EDC" w14:textId="77777777" w:rsidR="00006C1B" w:rsidRPr="00006C1B" w:rsidRDefault="00006C1B" w:rsidP="00006C1B">
      <w:pPr>
        <w:pStyle w:val="Default"/>
        <w:rPr>
          <w:rFonts w:ascii="Cambria" w:hAnsi="Cambria" w:cs="Arial"/>
          <w:b/>
          <w:u w:val="single"/>
        </w:rPr>
      </w:pPr>
      <w:r w:rsidRPr="00006C1B">
        <w:rPr>
          <w:rFonts w:ascii="Cambria" w:hAnsi="Cambria" w:cs="Arial"/>
          <w:b/>
          <w:u w:val="single"/>
        </w:rPr>
        <w:t>Reporting under North Carolina’s HealthCare Transparency Law and Regulations</w:t>
      </w:r>
    </w:p>
    <w:p w14:paraId="79BA5001" w14:textId="77777777" w:rsidR="00006C1B" w:rsidRPr="00006C1B" w:rsidRDefault="00006C1B" w:rsidP="00006C1B">
      <w:pPr>
        <w:pStyle w:val="Default"/>
        <w:rPr>
          <w:rFonts w:ascii="Cambria" w:hAnsi="Cambria" w:cs="Arial"/>
          <w:b/>
          <w:bCs/>
          <w:u w:val="single"/>
        </w:rPr>
      </w:pPr>
    </w:p>
    <w:p w14:paraId="7B9C3E81" w14:textId="77777777" w:rsidR="00006C1B" w:rsidRPr="00006C1B" w:rsidRDefault="00006C1B" w:rsidP="00006C1B">
      <w:pPr>
        <w:pStyle w:val="Default"/>
        <w:rPr>
          <w:rFonts w:ascii="Cambria" w:hAnsi="Cambria" w:cs="Arial"/>
          <w:bCs/>
        </w:rPr>
      </w:pPr>
      <w:r w:rsidRPr="00006C1B">
        <w:rPr>
          <w:rFonts w:ascii="Cambria" w:hAnsi="Cambria" w:cs="Arial"/>
          <w:bCs/>
        </w:rPr>
        <w:t xml:space="preserve">HB 834 and its subsequent revisions and regulations include specific reporting requirements for licensed hospitals and ambulatory surgical centers. The "Transparency in Health Care Costs" rule was published in the July 1, 2014 issue of the </w:t>
      </w:r>
      <w:r w:rsidRPr="00006C1B">
        <w:rPr>
          <w:rFonts w:ascii="Cambria" w:hAnsi="Cambria" w:cs="Arial"/>
          <w:bCs/>
          <w:i/>
          <w:iCs/>
        </w:rPr>
        <w:t>NC Register</w:t>
      </w:r>
      <w:r w:rsidRPr="00006C1B">
        <w:rPr>
          <w:rFonts w:ascii="Cambria" w:hAnsi="Cambria" w:cs="Arial"/>
          <w:bCs/>
        </w:rPr>
        <w:t xml:space="preserve"> and amended in August 2014 through changes in the Senate Budget Act (SB744). Technical updates to the regulation have been approved since that time.  </w:t>
      </w:r>
    </w:p>
    <w:p w14:paraId="3416DCB7" w14:textId="77777777" w:rsidR="00006C1B" w:rsidRPr="00006C1B" w:rsidRDefault="00006C1B" w:rsidP="00006C1B">
      <w:pPr>
        <w:pStyle w:val="Default"/>
        <w:rPr>
          <w:rFonts w:ascii="Cambria" w:hAnsi="Cambria" w:cs="Arial"/>
          <w:bCs/>
        </w:rPr>
      </w:pPr>
    </w:p>
    <w:p w14:paraId="6C1E2A13" w14:textId="77777777" w:rsidR="00006C1B" w:rsidRPr="00006C1B" w:rsidRDefault="00006C1B" w:rsidP="00006C1B">
      <w:pPr>
        <w:pStyle w:val="Default"/>
        <w:rPr>
          <w:rFonts w:ascii="Cambria" w:hAnsi="Cambria" w:cs="Arial"/>
          <w:bCs/>
        </w:rPr>
      </w:pPr>
      <w:r w:rsidRPr="00006C1B">
        <w:rPr>
          <w:rFonts w:ascii="Cambria" w:hAnsi="Cambria" w:cs="Arial"/>
          <w:bCs/>
        </w:rPr>
        <w:t xml:space="preserve">2015 Section 12A.15(a) of House Bill 97 modified the reporting requirement to an annual basis, beginning with the report period ending September 30, 2015 for submission in January of 2016. Additional changes pertaining to the </w:t>
      </w:r>
      <w:r w:rsidRPr="00006C1B">
        <w:rPr>
          <w:rFonts w:ascii="Cambria" w:hAnsi="Cambria" w:cs="Arial"/>
          <w:bCs/>
          <w:i/>
        </w:rPr>
        <w:t>Disclosure of charity care policy and costs</w:t>
      </w:r>
      <w:r w:rsidRPr="00006C1B">
        <w:rPr>
          <w:rFonts w:ascii="Cambria" w:hAnsi="Cambria" w:cs="Arial"/>
          <w:bCs/>
        </w:rPr>
        <w:t xml:space="preserve"> require the DHSR to post providers’ financial assistance policies and annual financial assistance costs (from Schedule H, federal form 990) directly to its website instead of using provider’s weblinks. The DHSR is now collecting that information on the annual </w:t>
      </w:r>
      <w:r w:rsidRPr="00006C1B">
        <w:rPr>
          <w:rFonts w:ascii="Cambria" w:hAnsi="Cambria" w:cs="Arial"/>
          <w:bCs/>
          <w:i/>
        </w:rPr>
        <w:t>hospital license renewal application</w:t>
      </w:r>
      <w:r w:rsidRPr="00006C1B">
        <w:rPr>
          <w:rFonts w:ascii="Cambria" w:hAnsi="Cambria" w:cs="Arial"/>
          <w:bCs/>
        </w:rPr>
        <w:t xml:space="preserve"> form.</w:t>
      </w:r>
    </w:p>
    <w:p w14:paraId="5C4113AF" w14:textId="77777777" w:rsidR="00006C1B" w:rsidRPr="00006C1B" w:rsidRDefault="00006C1B" w:rsidP="00006C1B">
      <w:pPr>
        <w:pStyle w:val="Default"/>
        <w:rPr>
          <w:rFonts w:ascii="Cambria" w:hAnsi="Cambria" w:cs="Arial"/>
          <w:bCs/>
        </w:rPr>
      </w:pPr>
    </w:p>
    <w:p w14:paraId="479D1949" w14:textId="77777777" w:rsidR="00006C1B" w:rsidRPr="00006C1B" w:rsidRDefault="00006C1B" w:rsidP="00006C1B">
      <w:pPr>
        <w:pStyle w:val="Default"/>
        <w:rPr>
          <w:rFonts w:ascii="Cambria" w:hAnsi="Cambria" w:cs="Arial"/>
          <w:bCs/>
        </w:rPr>
      </w:pPr>
      <w:r w:rsidRPr="00006C1B">
        <w:rPr>
          <w:rFonts w:ascii="Cambria" w:hAnsi="Cambria" w:cs="Arial"/>
          <w:bCs/>
        </w:rPr>
        <w:t>Regulations &amp; Implementation</w:t>
      </w:r>
    </w:p>
    <w:p w14:paraId="70DFD0E5" w14:textId="77777777" w:rsidR="00006C1B" w:rsidRPr="00006C1B" w:rsidRDefault="00006C1B" w:rsidP="00006C1B">
      <w:pPr>
        <w:pStyle w:val="Default"/>
        <w:rPr>
          <w:rFonts w:ascii="Cambria" w:hAnsi="Cambria" w:cs="Arial"/>
          <w:bCs/>
        </w:rPr>
      </w:pPr>
      <w:r w:rsidRPr="00006C1B">
        <w:rPr>
          <w:rFonts w:ascii="Cambria" w:hAnsi="Cambria" w:cs="Arial"/>
          <w:bCs/>
        </w:rPr>
        <w:t xml:space="preserve">The Transparency in Health Care Cost regulation can be found in SECTION .2100 of the Administrative Code on the </w:t>
      </w:r>
      <w:r w:rsidRPr="00006C1B">
        <w:rPr>
          <w:rFonts w:ascii="Cambria" w:hAnsi="Cambria" w:cs="Arial"/>
          <w:bCs/>
          <w:i/>
        </w:rPr>
        <w:t>Division of Health Service Regulation</w:t>
      </w:r>
      <w:r w:rsidRPr="00006C1B">
        <w:rPr>
          <w:rFonts w:ascii="Cambria" w:hAnsi="Cambria" w:cs="Arial"/>
          <w:bCs/>
        </w:rPr>
        <w:t xml:space="preserve"> website. The DHSR collects these data with assistance from the statewide data processor, IBM (formerly Truven Health) Analytics. IBM has developed an electronic common format to use in reporting data, which will be displayed on the DHSR webpage at </w:t>
      </w:r>
      <w:hyperlink r:id="rId10" w:history="1">
        <w:r w:rsidRPr="00006C1B">
          <w:rPr>
            <w:rStyle w:val="Hyperlink"/>
            <w:rFonts w:ascii="Cambria" w:hAnsi="Cambria" w:cs="Arial"/>
            <w:bCs/>
            <w:u w:val="none"/>
          </w:rPr>
          <w:t>https://www2.ncdhhs.gov/dhsr/ahc/hb834/index.html</w:t>
        </w:r>
      </w:hyperlink>
      <w:r w:rsidRPr="00006C1B">
        <w:rPr>
          <w:rFonts w:ascii="Cambria" w:hAnsi="Cambria" w:cs="Arial"/>
          <w:bCs/>
        </w:rPr>
        <w:t xml:space="preserve"> along with the current DRG and procedure lists, reports, rules and related information.   </w:t>
      </w:r>
    </w:p>
    <w:p w14:paraId="555DD70D" w14:textId="77777777" w:rsidR="00006C1B" w:rsidRPr="00006C1B" w:rsidRDefault="00006C1B" w:rsidP="00006C1B">
      <w:pPr>
        <w:pStyle w:val="Default"/>
        <w:rPr>
          <w:rFonts w:ascii="Cambria" w:hAnsi="Cambria" w:cs="Arial"/>
          <w:bCs/>
        </w:rPr>
      </w:pPr>
    </w:p>
    <w:p w14:paraId="0C10034A" w14:textId="77777777" w:rsidR="00006C1B" w:rsidRPr="00006C1B" w:rsidRDefault="00006C1B" w:rsidP="00006C1B">
      <w:pPr>
        <w:pStyle w:val="Default"/>
        <w:rPr>
          <w:rFonts w:ascii="Cambria" w:hAnsi="Cambria" w:cs="Arial"/>
          <w:bCs/>
        </w:rPr>
      </w:pPr>
      <w:r w:rsidRPr="00006C1B">
        <w:rPr>
          <w:rFonts w:ascii="Cambria" w:hAnsi="Cambria" w:cs="Arial"/>
          <w:bCs/>
        </w:rPr>
        <w:t>Guidance for Reporting</w:t>
      </w:r>
    </w:p>
    <w:p w14:paraId="5D5AE122" w14:textId="77777777" w:rsidR="00006C1B" w:rsidRPr="00006C1B" w:rsidRDefault="00006C1B" w:rsidP="00006C1B">
      <w:pPr>
        <w:pStyle w:val="Default"/>
        <w:rPr>
          <w:rFonts w:ascii="Cambria" w:hAnsi="Cambria" w:cs="Arial"/>
          <w:bCs/>
        </w:rPr>
      </w:pPr>
      <w:r w:rsidRPr="00006C1B">
        <w:rPr>
          <w:rFonts w:ascii="Cambria" w:hAnsi="Cambria" w:cs="Arial"/>
          <w:bCs/>
        </w:rPr>
        <w:t xml:space="preserve">The following is intended as guidance for completing IBM’s financial data file in accordance with 10A NCAC 13B .2102 and 13C .0206, and was updated with the assistance of </w:t>
      </w:r>
      <w:r w:rsidRPr="00006C1B">
        <w:rPr>
          <w:rFonts w:ascii="Cambria" w:hAnsi="Cambria" w:cs="Arial"/>
          <w:bCs/>
          <w:iCs/>
        </w:rPr>
        <w:t xml:space="preserve">the Hospital Transparency Workgroup (which has met with the State’s DHSR and Medical Care Commission), NCHA’s MRI/GAP workgroup, and hospital and freestanding ambulatory surgery providers. This document will be updated as needed to reflect regulatory and other changes. </w:t>
      </w:r>
    </w:p>
    <w:p w14:paraId="027BB87C" w14:textId="77777777" w:rsidR="00006C1B" w:rsidRPr="00006C1B" w:rsidRDefault="00006C1B" w:rsidP="00006C1B">
      <w:pPr>
        <w:pStyle w:val="Default"/>
        <w:rPr>
          <w:rFonts w:ascii="Cambria" w:hAnsi="Cambria" w:cs="Arial"/>
          <w:bCs/>
        </w:rPr>
      </w:pPr>
    </w:p>
    <w:p w14:paraId="5F612C6F" w14:textId="77777777" w:rsidR="00006C1B" w:rsidRPr="00006C1B" w:rsidRDefault="00006C1B" w:rsidP="00006C1B">
      <w:pPr>
        <w:pStyle w:val="Default"/>
        <w:rPr>
          <w:rFonts w:ascii="Cambria" w:hAnsi="Cambria" w:cs="Arial"/>
          <w:bCs/>
          <w:u w:val="single"/>
        </w:rPr>
      </w:pPr>
      <w:r w:rsidRPr="00006C1B">
        <w:rPr>
          <w:rFonts w:ascii="Cambria" w:hAnsi="Cambria" w:cs="Arial"/>
          <w:bCs/>
          <w:u w:val="single"/>
        </w:rPr>
        <w:t xml:space="preserve">Changes for data submission effective January 1, 2016. </w:t>
      </w:r>
    </w:p>
    <w:p w14:paraId="2DF291CB" w14:textId="77777777" w:rsidR="00006C1B" w:rsidRPr="00006C1B" w:rsidRDefault="00006C1B" w:rsidP="00006C1B">
      <w:pPr>
        <w:pStyle w:val="Default"/>
        <w:rPr>
          <w:rFonts w:ascii="Cambria" w:hAnsi="Cambria" w:cs="Arial"/>
          <w:bCs/>
        </w:rPr>
      </w:pPr>
    </w:p>
    <w:p w14:paraId="4DCFDFB4" w14:textId="77777777" w:rsidR="00006C1B" w:rsidRPr="00006C1B" w:rsidRDefault="00006C1B" w:rsidP="00006C1B">
      <w:pPr>
        <w:pStyle w:val="Default"/>
        <w:rPr>
          <w:rFonts w:ascii="Cambria" w:hAnsi="Cambria" w:cs="Arial"/>
          <w:bCs/>
        </w:rPr>
      </w:pPr>
      <w:r w:rsidRPr="00006C1B">
        <w:rPr>
          <w:rFonts w:ascii="Cambria" w:hAnsi="Cambria" w:cs="Arial"/>
          <w:bCs/>
        </w:rPr>
        <w:t xml:space="preserve">Commencing with the data period ending September 30, 2015, an annual data report shall be submitted that includes all sites operated by the licensed hospital or ambulatory surgery center. </w:t>
      </w:r>
      <w:r w:rsidRPr="00006C1B">
        <w:rPr>
          <w:rFonts w:ascii="Cambria" w:hAnsi="Cambria" w:cs="Arial"/>
          <w:bCs/>
          <w:i/>
        </w:rPr>
        <w:t xml:space="preserve">(Previously a quarterly report included data from a rolling four quarters) </w:t>
      </w:r>
      <w:r w:rsidRPr="00006C1B">
        <w:rPr>
          <w:rFonts w:ascii="Cambria" w:hAnsi="Cambria" w:cs="Arial"/>
          <w:bCs/>
        </w:rPr>
        <w:t xml:space="preserve">This includes both the inpatient 100 DRG’s and the 20 most common outpatient surgical procedures and the 20 most common outpatient imaging procedures. Therefore, each January 1 submission will include 12 months’ DRG and outpatient procedure data for the period ending the previous September 30. </w:t>
      </w:r>
    </w:p>
    <w:p w14:paraId="3AC5D6C1" w14:textId="77777777" w:rsidR="00006C1B" w:rsidRPr="00006C1B" w:rsidRDefault="00006C1B" w:rsidP="00006C1B">
      <w:pPr>
        <w:pStyle w:val="Default"/>
        <w:rPr>
          <w:rFonts w:ascii="Cambria" w:hAnsi="Cambria" w:cs="Arial"/>
          <w:bCs/>
        </w:rPr>
      </w:pPr>
    </w:p>
    <w:p w14:paraId="52CC8633" w14:textId="152A935A" w:rsidR="00006C1B" w:rsidRPr="00006C1B" w:rsidRDefault="00006C1B" w:rsidP="00006C1B">
      <w:pPr>
        <w:pStyle w:val="Default"/>
        <w:rPr>
          <w:rFonts w:ascii="Cambria" w:hAnsi="Cambria" w:cs="Arial"/>
          <w:bCs/>
        </w:rPr>
      </w:pPr>
      <w:r w:rsidRPr="00006C1B">
        <w:rPr>
          <w:rFonts w:ascii="Cambria" w:hAnsi="Cambria" w:cs="Arial"/>
          <w:bCs/>
          <w:iCs/>
        </w:rPr>
        <w:t xml:space="preserve">Each of (e)(1) through (e)(5) below is required to be completed using the </w:t>
      </w:r>
      <w:r w:rsidRPr="00006C1B">
        <w:rPr>
          <w:rFonts w:ascii="Cambria" w:hAnsi="Cambria" w:cs="Arial"/>
          <w:bCs/>
        </w:rPr>
        <w:t xml:space="preserve">100 most frequently reported Diagnostic Related Groups and the 20 most common outpatient imaging and 20 most common outpatient surgical procedures included in the IBM File User Guide. Please see the reporting rules below, along with recommended guidance to meet the reporting requirement on </w:t>
      </w:r>
      <w:r w:rsidRPr="00006C1B">
        <w:rPr>
          <w:rFonts w:ascii="Cambria" w:hAnsi="Cambria" w:cs="Arial"/>
          <w:bCs/>
        </w:rPr>
        <w:lastRenderedPageBreak/>
        <w:t>the Transparency Reporting Resource section of NCHA’s website at</w:t>
      </w:r>
      <w:r w:rsidR="0053147C">
        <w:rPr>
          <w:rFonts w:ascii="Cambria" w:hAnsi="Cambria" w:cs="Arial"/>
          <w:bCs/>
        </w:rPr>
        <w:t xml:space="preserve"> </w:t>
      </w:r>
      <w:r w:rsidR="0053147C" w:rsidRPr="0053147C">
        <w:rPr>
          <w:rStyle w:val="Hyperlink"/>
          <w:rFonts w:ascii="Cambria" w:hAnsi="Cambria" w:cs="Arial"/>
          <w:bCs/>
          <w:u w:val="none"/>
        </w:rPr>
        <w:t>https://www.ncha.org/transparency/</w:t>
      </w:r>
      <w:r w:rsidR="0053147C">
        <w:rPr>
          <w:rStyle w:val="Hyperlink"/>
          <w:rFonts w:ascii="Cambria" w:hAnsi="Cambria" w:cs="Arial"/>
          <w:bCs/>
          <w:u w:val="none"/>
        </w:rPr>
        <w:t>.</w:t>
      </w:r>
      <w:bookmarkStart w:id="0" w:name="_GoBack"/>
      <w:bookmarkEnd w:id="0"/>
    </w:p>
    <w:p w14:paraId="0B453570" w14:textId="77777777" w:rsidR="00006C1B" w:rsidRPr="00006C1B" w:rsidRDefault="00006C1B" w:rsidP="00006C1B">
      <w:pPr>
        <w:pStyle w:val="Default"/>
        <w:rPr>
          <w:rFonts w:ascii="Cambria" w:hAnsi="Cambria" w:cs="Arial"/>
          <w:bCs/>
        </w:rPr>
      </w:pPr>
    </w:p>
    <w:p w14:paraId="412F64AF" w14:textId="49A946C3" w:rsidR="00006C1B" w:rsidRPr="00006C1B" w:rsidRDefault="00006C1B" w:rsidP="00006C1B">
      <w:pPr>
        <w:pStyle w:val="Default"/>
        <w:rPr>
          <w:rFonts w:ascii="Cambria" w:hAnsi="Cambria" w:cs="Arial"/>
          <w:bCs/>
        </w:rPr>
      </w:pPr>
      <w:r w:rsidRPr="00006C1B">
        <w:rPr>
          <w:rFonts w:ascii="Cambria" w:hAnsi="Cambria" w:cs="Arial"/>
          <w:bCs/>
        </w:rPr>
        <w:t>The Transparency rule establishes that only those DRGs, CPT code or procedures where three or more cases exist per reporting period shall be reported under each of the following categories, so hospitals should not report DRGs, CPT code or procedures in any of the payment categories where fewer than three cases exist.  Hospitals should also not include the names of any insurers in their data transmissions to IBM.</w:t>
      </w:r>
      <w:r w:rsidRPr="00006C1B">
        <w:rPr>
          <w:rFonts w:ascii="Cambria" w:hAnsi="Cambria" w:cs="Arial"/>
          <w:bCs/>
        </w:rPr>
        <w:br w:type="page"/>
      </w:r>
    </w:p>
    <w:p w14:paraId="738028B9" w14:textId="14CE0413" w:rsidR="00006C1B" w:rsidRDefault="00006C1B" w:rsidP="00006C1B">
      <w:pPr>
        <w:pStyle w:val="Default"/>
        <w:rPr>
          <w:rFonts w:ascii="Cambria" w:hAnsi="Cambria" w:cs="Arial"/>
          <w:b/>
          <w:u w:val="single"/>
        </w:rPr>
      </w:pPr>
      <w:r w:rsidRPr="00006C1B">
        <w:rPr>
          <w:rFonts w:ascii="Cambria" w:hAnsi="Cambria" w:cs="Arial"/>
          <w:b/>
          <w:u w:val="single"/>
        </w:rPr>
        <w:lastRenderedPageBreak/>
        <w:t xml:space="preserve">Guidance for 10A NCAC 13B .2102 (e) Reporting Requirements </w:t>
      </w:r>
    </w:p>
    <w:p w14:paraId="3E7F06D3" w14:textId="77777777" w:rsidR="00974F1F" w:rsidRPr="00006C1B" w:rsidRDefault="00974F1F" w:rsidP="00006C1B">
      <w:pPr>
        <w:pStyle w:val="Default"/>
        <w:rPr>
          <w:rFonts w:ascii="Cambria" w:hAnsi="Cambria" w:cs="Arial"/>
          <w:b/>
          <w:u w:val="single"/>
        </w:rPr>
      </w:pPr>
    </w:p>
    <w:p w14:paraId="16A735CC" w14:textId="57F42B09" w:rsidR="00006C1B" w:rsidRPr="003210D1" w:rsidRDefault="00006C1B" w:rsidP="00006C1B">
      <w:pPr>
        <w:pStyle w:val="Default"/>
        <w:rPr>
          <w:rFonts w:ascii="Cambria" w:hAnsi="Cambria" w:cs="Arial"/>
          <w:bCs/>
          <w:i/>
        </w:rPr>
      </w:pPr>
      <w:r w:rsidRPr="003210D1">
        <w:rPr>
          <w:rFonts w:ascii="Cambria" w:hAnsi="Cambria" w:cs="Arial"/>
          <w:bCs/>
          <w:i/>
        </w:rPr>
        <w:t xml:space="preserve">(e)(1) </w:t>
      </w:r>
      <w:r w:rsidRPr="003210D1">
        <w:rPr>
          <w:rFonts w:ascii="Cambria" w:hAnsi="Cambria" w:cs="Arial"/>
          <w:bCs/>
          <w:i/>
        </w:rPr>
        <w:tab/>
        <w:t xml:space="preserve">the </w:t>
      </w:r>
      <w:r w:rsidRPr="003210D1">
        <w:rPr>
          <w:rFonts w:ascii="Cambria" w:hAnsi="Cambria" w:cs="Arial"/>
          <w:b/>
          <w:i/>
        </w:rPr>
        <w:t>average gross charge</w:t>
      </w:r>
      <w:r w:rsidRPr="003210D1">
        <w:rPr>
          <w:rFonts w:ascii="Cambria" w:hAnsi="Cambria" w:cs="Arial"/>
          <w:bCs/>
          <w:i/>
        </w:rPr>
        <w:t xml:space="preserve"> for each DRG, CPT code or procedure without a public or private third party payer source.</w:t>
      </w:r>
    </w:p>
    <w:p w14:paraId="4D23D449" w14:textId="77777777" w:rsidR="00006C1B" w:rsidRPr="00006C1B" w:rsidRDefault="00006C1B" w:rsidP="00006C1B">
      <w:pPr>
        <w:pStyle w:val="Default"/>
        <w:rPr>
          <w:rFonts w:ascii="Cambria" w:hAnsi="Cambria" w:cs="Arial"/>
          <w:b/>
          <w:i/>
        </w:rPr>
      </w:pPr>
    </w:p>
    <w:p w14:paraId="27C79EDD"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On the form provided by IBM, record the average gross charge per the Chargemaster for each DRG, CPT code or procedure provided to patients without public or private insurance for the year of the data collection period. Record full charges before application of any discount, adjustment or write-off.</w:t>
      </w:r>
    </w:p>
    <w:p w14:paraId="30265044" w14:textId="77777777" w:rsidR="00006C1B" w:rsidRPr="00006C1B" w:rsidRDefault="00006C1B" w:rsidP="00006C1B">
      <w:pPr>
        <w:pStyle w:val="Default"/>
        <w:rPr>
          <w:rFonts w:ascii="Cambria" w:hAnsi="Cambria" w:cs="Arial"/>
        </w:rPr>
      </w:pPr>
    </w:p>
    <w:p w14:paraId="48E1FB39" w14:textId="7293C118" w:rsidR="00006C1B" w:rsidRPr="003210D1" w:rsidRDefault="00006C1B" w:rsidP="00006C1B">
      <w:pPr>
        <w:pStyle w:val="Default"/>
        <w:rPr>
          <w:rFonts w:ascii="Cambria" w:hAnsi="Cambria" w:cs="Arial"/>
          <w:bCs/>
          <w:i/>
        </w:rPr>
      </w:pPr>
      <w:r w:rsidRPr="003210D1">
        <w:rPr>
          <w:rFonts w:ascii="Cambria" w:hAnsi="Cambria" w:cs="Arial"/>
          <w:bCs/>
          <w:i/>
        </w:rPr>
        <w:t xml:space="preserve">(e)(2) </w:t>
      </w:r>
      <w:r w:rsidRPr="003210D1">
        <w:rPr>
          <w:rFonts w:ascii="Cambria" w:hAnsi="Cambria" w:cs="Arial"/>
          <w:bCs/>
          <w:i/>
        </w:rPr>
        <w:tab/>
        <w:t xml:space="preserve">The </w:t>
      </w:r>
      <w:r w:rsidRPr="003210D1">
        <w:rPr>
          <w:rFonts w:ascii="Cambria" w:hAnsi="Cambria" w:cs="Arial"/>
          <w:b/>
          <w:i/>
        </w:rPr>
        <w:t>average negotiated settlement</w:t>
      </w:r>
      <w:r w:rsidRPr="003210D1">
        <w:rPr>
          <w:rFonts w:ascii="Cambria" w:hAnsi="Cambria" w:cs="Arial"/>
          <w:bCs/>
          <w:i/>
        </w:rPr>
        <w:t xml:space="preserve"> on the amount that will be charged for each DRG, CPT code or procedure as required for patients defined in Subparagraph (e)(1) of this Rule. The average negotiated settlement shall be calculated using the average amount charged all patients eligible for the hospital’s financial assistance policy, including self-pay patients.</w:t>
      </w:r>
    </w:p>
    <w:p w14:paraId="2963A7FC" w14:textId="77777777" w:rsidR="00006C1B" w:rsidRPr="00006C1B" w:rsidRDefault="00006C1B" w:rsidP="00006C1B">
      <w:pPr>
        <w:pStyle w:val="Default"/>
        <w:rPr>
          <w:rFonts w:ascii="Cambria" w:hAnsi="Cambria" w:cs="Arial"/>
          <w:b/>
          <w:i/>
        </w:rPr>
      </w:pPr>
    </w:p>
    <w:p w14:paraId="206F8E3A"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On the form provided by IBM, record the average total collection on the amount charged for each DRG, CPT code or procedure for (e)(1) above. Hospitals should calculate this using the average amount collected from self-pay patients, including those eligible for the facility's financial assistance policy. Include both formulaic and additional negotiated discounts, as well as any payments from Medicaid Pending patients. </w:t>
      </w:r>
    </w:p>
    <w:p w14:paraId="72B01CB6" w14:textId="77777777" w:rsidR="00006C1B" w:rsidRPr="00006C1B" w:rsidRDefault="00006C1B" w:rsidP="00006C1B">
      <w:pPr>
        <w:pStyle w:val="Default"/>
        <w:rPr>
          <w:rFonts w:ascii="Cambria" w:hAnsi="Cambria" w:cs="Arial"/>
          <w:i/>
        </w:rPr>
      </w:pPr>
    </w:p>
    <w:p w14:paraId="694A638E" w14:textId="6F304888" w:rsidR="00006C1B" w:rsidRPr="003210D1" w:rsidRDefault="00006C1B" w:rsidP="00006C1B">
      <w:pPr>
        <w:pStyle w:val="Default"/>
        <w:rPr>
          <w:rFonts w:ascii="Cambria" w:hAnsi="Cambria" w:cs="Arial"/>
          <w:bCs/>
          <w:i/>
        </w:rPr>
      </w:pPr>
      <w:r w:rsidRPr="003210D1">
        <w:rPr>
          <w:rFonts w:ascii="Cambria" w:hAnsi="Cambria" w:cs="Arial"/>
          <w:bCs/>
          <w:i/>
        </w:rPr>
        <w:t xml:space="preserve">(e)(3) </w:t>
      </w:r>
      <w:r w:rsidRPr="003210D1">
        <w:rPr>
          <w:rFonts w:ascii="Cambria" w:hAnsi="Cambria" w:cs="Arial"/>
          <w:bCs/>
          <w:i/>
        </w:rPr>
        <w:tab/>
        <w:t xml:space="preserve">the amount of </w:t>
      </w:r>
      <w:r w:rsidRPr="003210D1">
        <w:rPr>
          <w:rFonts w:ascii="Cambria" w:hAnsi="Cambria" w:cs="Arial"/>
          <w:b/>
          <w:i/>
        </w:rPr>
        <w:t>Medicaid reimbursement</w:t>
      </w:r>
      <w:r w:rsidRPr="003210D1">
        <w:rPr>
          <w:rFonts w:ascii="Cambria" w:hAnsi="Cambria" w:cs="Arial"/>
          <w:bCs/>
          <w:i/>
        </w:rPr>
        <w:t xml:space="preserve"> for each DRG, CPT code, or procedure, including all supplemental payments to and from the hospital;</w:t>
      </w:r>
    </w:p>
    <w:p w14:paraId="2A5B8F61" w14:textId="77777777" w:rsidR="00006C1B" w:rsidRPr="00006C1B" w:rsidRDefault="00006C1B" w:rsidP="00006C1B">
      <w:pPr>
        <w:pStyle w:val="Default"/>
        <w:rPr>
          <w:rFonts w:ascii="Cambria" w:hAnsi="Cambria" w:cs="Arial"/>
          <w:b/>
        </w:rPr>
      </w:pPr>
    </w:p>
    <w:p w14:paraId="65DA3F16"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On the form provided by IBM, record the average amount of North Carolina Medicaid reimbursement for each DRG, CPT code or procedure including all </w:t>
      </w:r>
      <w:r w:rsidRPr="003210D1">
        <w:rPr>
          <w:rFonts w:ascii="Cambria" w:hAnsi="Cambria" w:cs="Arial"/>
          <w:i/>
          <w:iCs/>
        </w:rPr>
        <w:t>supplemental payments</w:t>
      </w:r>
      <w:r w:rsidRPr="00006C1B">
        <w:rPr>
          <w:rFonts w:ascii="Cambria" w:hAnsi="Cambria" w:cs="Arial"/>
        </w:rPr>
        <w:t xml:space="preserve"> to and from the hospital. Begin with your Base Medicaid Rate as adjusted for each DRG, CPT code or procedures case weight. Critical Access Hospitals should estimate their inpatient reimbursement by taking the Medicaid amount for each DRG, CPT code or procedure and applying to it the Medicaid cost to charge ratio.</w:t>
      </w:r>
    </w:p>
    <w:p w14:paraId="00B31C8B" w14:textId="77777777" w:rsidR="00006C1B" w:rsidRPr="00006C1B" w:rsidRDefault="00006C1B" w:rsidP="00006C1B">
      <w:pPr>
        <w:pStyle w:val="Default"/>
        <w:rPr>
          <w:rFonts w:ascii="Cambria" w:hAnsi="Cambria" w:cs="Arial"/>
        </w:rPr>
      </w:pPr>
    </w:p>
    <w:p w14:paraId="725AA309" w14:textId="00A8DE38" w:rsidR="00006C1B" w:rsidRPr="00006C1B" w:rsidRDefault="00006C1B" w:rsidP="00006C1B">
      <w:pPr>
        <w:pStyle w:val="Default"/>
        <w:numPr>
          <w:ilvl w:val="0"/>
          <w:numId w:val="1"/>
        </w:numPr>
        <w:rPr>
          <w:rFonts w:ascii="Cambria" w:hAnsi="Cambria" w:cs="Arial"/>
        </w:rPr>
      </w:pPr>
      <w:r w:rsidRPr="003210D1">
        <w:rPr>
          <w:rFonts w:ascii="Cambria" w:hAnsi="Cambria" w:cs="Arial"/>
          <w:i/>
          <w:iCs/>
        </w:rPr>
        <w:t>Supplemental Payments</w:t>
      </w:r>
      <w:r w:rsidRPr="00006C1B">
        <w:rPr>
          <w:rFonts w:ascii="Cambria" w:hAnsi="Cambria" w:cs="Arial"/>
        </w:rPr>
        <w:t xml:space="preserve">: Hospitals are required to add the Medicaid supplemental payment amount to each DRG, CPT code or procedure. NCHA strongly suggests using the </w:t>
      </w:r>
      <w:r w:rsidR="00716B64">
        <w:rPr>
          <w:rFonts w:ascii="Cambria" w:hAnsi="Cambria" w:cs="Arial"/>
        </w:rPr>
        <w:t>“</w:t>
      </w:r>
      <w:r w:rsidR="00716B64" w:rsidRPr="00974F1F">
        <w:rPr>
          <w:rFonts w:ascii="Cambria" w:hAnsi="Cambria" w:cs="Arial"/>
          <w:b/>
          <w:bCs/>
          <w:i/>
          <w:iCs/>
        </w:rPr>
        <w:t>RCC Transparency Template</w:t>
      </w:r>
      <w:r w:rsidR="00716B64">
        <w:rPr>
          <w:rFonts w:ascii="Cambria" w:hAnsi="Cambria" w:cs="Arial"/>
        </w:rPr>
        <w:t xml:space="preserve">,” </w:t>
      </w:r>
      <w:r w:rsidRPr="00006C1B">
        <w:rPr>
          <w:rFonts w:ascii="Cambria" w:hAnsi="Cambria" w:cs="Arial"/>
        </w:rPr>
        <w:t xml:space="preserve">which was developed by NCHA’s MRI/GAP Workgroup specifically for this purpose. Supplemental payment calculations determined by this process will ensure that hospital reimbursements posted on the DHSR website are accurate and comparable. </w:t>
      </w:r>
    </w:p>
    <w:p w14:paraId="1A2D865C" w14:textId="77777777" w:rsidR="00006C1B" w:rsidRPr="00006C1B" w:rsidRDefault="00006C1B" w:rsidP="00006C1B">
      <w:pPr>
        <w:pStyle w:val="Default"/>
        <w:rPr>
          <w:rFonts w:ascii="Cambria" w:hAnsi="Cambria" w:cs="Arial"/>
        </w:rPr>
      </w:pPr>
    </w:p>
    <w:p w14:paraId="5F8840A0" w14:textId="15984D63" w:rsidR="00006C1B" w:rsidRPr="003210D1" w:rsidRDefault="00006C1B" w:rsidP="00006C1B">
      <w:pPr>
        <w:pStyle w:val="Default"/>
        <w:rPr>
          <w:rFonts w:ascii="Cambria" w:hAnsi="Cambria" w:cs="Arial"/>
          <w:bCs/>
          <w:i/>
        </w:rPr>
      </w:pPr>
      <w:r w:rsidRPr="003210D1">
        <w:rPr>
          <w:rFonts w:ascii="Cambria" w:hAnsi="Cambria" w:cs="Arial"/>
          <w:bCs/>
          <w:i/>
        </w:rPr>
        <w:t xml:space="preserve">(e)(4) the amount of </w:t>
      </w:r>
      <w:r w:rsidRPr="003210D1">
        <w:rPr>
          <w:rFonts w:ascii="Cambria" w:hAnsi="Cambria" w:cs="Arial"/>
          <w:b/>
          <w:i/>
        </w:rPr>
        <w:t>Medicare reimbursement</w:t>
      </w:r>
      <w:r w:rsidRPr="003210D1">
        <w:rPr>
          <w:rFonts w:ascii="Cambria" w:hAnsi="Cambria" w:cs="Arial"/>
          <w:bCs/>
          <w:i/>
        </w:rPr>
        <w:t xml:space="preserve"> for each DRG, CPT code, or procedure; </w:t>
      </w:r>
    </w:p>
    <w:p w14:paraId="0EDD9DF1" w14:textId="77777777" w:rsidR="00006C1B" w:rsidRPr="00006C1B" w:rsidRDefault="00006C1B" w:rsidP="00006C1B">
      <w:pPr>
        <w:pStyle w:val="Default"/>
        <w:rPr>
          <w:rFonts w:ascii="Cambria" w:hAnsi="Cambria" w:cs="Arial"/>
          <w:b/>
        </w:rPr>
      </w:pPr>
    </w:p>
    <w:p w14:paraId="092425BA" w14:textId="4DA671DE" w:rsidR="00006C1B" w:rsidRPr="00006C1B" w:rsidRDefault="00006C1B" w:rsidP="00006C1B">
      <w:pPr>
        <w:pStyle w:val="Default"/>
        <w:numPr>
          <w:ilvl w:val="0"/>
          <w:numId w:val="1"/>
        </w:numPr>
        <w:rPr>
          <w:rFonts w:ascii="Cambria" w:hAnsi="Cambria" w:cs="Arial"/>
        </w:rPr>
      </w:pPr>
      <w:r w:rsidRPr="00006C1B">
        <w:rPr>
          <w:rFonts w:ascii="Cambria" w:hAnsi="Cambria" w:cs="Arial"/>
        </w:rPr>
        <w:t>On the form provided by IBM, record the average</w:t>
      </w:r>
      <w:r w:rsidRPr="00006C1B" w:rsidDel="006838FE">
        <w:rPr>
          <w:rFonts w:ascii="Cambria" w:hAnsi="Cambria" w:cs="Arial"/>
        </w:rPr>
        <w:t xml:space="preserve"> </w:t>
      </w:r>
      <w:r w:rsidRPr="00006C1B">
        <w:rPr>
          <w:rFonts w:ascii="Cambria" w:hAnsi="Cambria" w:cs="Arial"/>
        </w:rPr>
        <w:t>amount of Medicare reimbursement for each DRG using data from the “</w:t>
      </w:r>
      <w:r w:rsidRPr="00974F1F">
        <w:rPr>
          <w:rFonts w:ascii="Cambria" w:hAnsi="Cambria" w:cs="Arial"/>
          <w:b/>
          <w:bCs/>
          <w:i/>
          <w:iCs/>
        </w:rPr>
        <w:t>Medicare Payment</w:t>
      </w:r>
      <w:r w:rsidR="00F020DC" w:rsidRPr="00974F1F">
        <w:rPr>
          <w:rFonts w:ascii="Cambria" w:hAnsi="Cambria" w:cs="Arial"/>
          <w:b/>
          <w:bCs/>
          <w:i/>
          <w:iCs/>
        </w:rPr>
        <w:t xml:space="preserve"> Rate</w:t>
      </w:r>
      <w:r w:rsidRPr="00006C1B">
        <w:rPr>
          <w:rFonts w:ascii="Cambria" w:hAnsi="Cambria" w:cs="Arial"/>
        </w:rPr>
        <w:t xml:space="preserve">” spreadsheet on NCHA’s website. The data in the table were derived from publicly available files from the 2014 final rule on the CMS website. </w:t>
      </w:r>
    </w:p>
    <w:p w14:paraId="4AC7FDC0" w14:textId="77777777" w:rsidR="00006C1B" w:rsidRPr="00006C1B" w:rsidRDefault="00006C1B" w:rsidP="00006C1B">
      <w:pPr>
        <w:pStyle w:val="Default"/>
        <w:rPr>
          <w:rFonts w:ascii="Cambria" w:hAnsi="Cambria" w:cs="Arial"/>
        </w:rPr>
      </w:pPr>
    </w:p>
    <w:p w14:paraId="755E9CE4"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Critical Access Hospitals can estimate their Medicare DRG reimbursement by applying their overall cost to charge ratio to the average charge for each of the posted 100 DRG’s where 3 or more cases were recorded during the reporting period. </w:t>
      </w:r>
    </w:p>
    <w:p w14:paraId="49B5D77B" w14:textId="77777777" w:rsidR="00006C1B" w:rsidRPr="00006C1B" w:rsidRDefault="00006C1B" w:rsidP="00006C1B">
      <w:pPr>
        <w:pStyle w:val="Default"/>
        <w:rPr>
          <w:rFonts w:ascii="Cambria" w:hAnsi="Cambria" w:cs="Arial"/>
        </w:rPr>
      </w:pPr>
    </w:p>
    <w:p w14:paraId="60185EE0" w14:textId="01A26566" w:rsidR="00006C1B" w:rsidRPr="00974F1F" w:rsidRDefault="00006C1B" w:rsidP="00006C1B">
      <w:pPr>
        <w:pStyle w:val="Default"/>
        <w:rPr>
          <w:rFonts w:ascii="Cambria" w:hAnsi="Cambria" w:cs="Arial"/>
          <w:bCs/>
          <w:i/>
        </w:rPr>
      </w:pPr>
      <w:r w:rsidRPr="00974F1F">
        <w:rPr>
          <w:rFonts w:ascii="Cambria" w:hAnsi="Cambria" w:cs="Arial"/>
          <w:bCs/>
          <w:i/>
        </w:rPr>
        <w:t xml:space="preserve">(e)(5) on behalf of patients who are covered by a </w:t>
      </w:r>
      <w:r w:rsidRPr="00974F1F">
        <w:rPr>
          <w:rFonts w:ascii="Cambria" w:hAnsi="Cambria" w:cs="Arial"/>
          <w:b/>
          <w:i/>
        </w:rPr>
        <w:t>Department of Insurance licensed</w:t>
      </w:r>
      <w:r w:rsidRPr="00974F1F">
        <w:rPr>
          <w:rFonts w:ascii="Cambria" w:hAnsi="Cambria" w:cs="Arial"/>
          <w:bCs/>
          <w:i/>
        </w:rPr>
        <w:t xml:space="preserve"> </w:t>
      </w:r>
      <w:r w:rsidRPr="00974F1F">
        <w:rPr>
          <w:rFonts w:ascii="Cambria" w:hAnsi="Cambria" w:cs="Arial"/>
          <w:b/>
          <w:i/>
        </w:rPr>
        <w:t>third-party</w:t>
      </w:r>
      <w:r w:rsidRPr="00974F1F">
        <w:rPr>
          <w:rFonts w:ascii="Cambria" w:hAnsi="Cambria" w:cs="Arial"/>
          <w:bCs/>
          <w:i/>
        </w:rPr>
        <w:t xml:space="preserve"> (</w:t>
      </w:r>
      <w:r w:rsidRPr="00974F1F">
        <w:rPr>
          <w:rFonts w:ascii="Cambria" w:hAnsi="Cambria" w:cs="Arial"/>
          <w:bCs/>
          <w:i/>
          <w:u w:val="single"/>
        </w:rPr>
        <w:t xml:space="preserve">including </w:t>
      </w:r>
      <w:r w:rsidRPr="00974F1F">
        <w:rPr>
          <w:rFonts w:ascii="Cambria" w:hAnsi="Cambria" w:cs="Arial"/>
          <w:b/>
          <w:i/>
          <w:u w:val="single"/>
        </w:rPr>
        <w:t>Medicare Advantage</w:t>
      </w:r>
      <w:r w:rsidRPr="00974F1F">
        <w:rPr>
          <w:rFonts w:ascii="Cambria" w:hAnsi="Cambria" w:cs="Arial"/>
          <w:bCs/>
          <w:i/>
        </w:rPr>
        <w:t xml:space="preserve">) and </w:t>
      </w:r>
      <w:r w:rsidRPr="00974F1F">
        <w:rPr>
          <w:rFonts w:ascii="Cambria" w:hAnsi="Cambria" w:cs="Arial"/>
          <w:b/>
          <w:i/>
        </w:rPr>
        <w:t>teachers and State employees</w:t>
      </w:r>
      <w:r w:rsidRPr="00974F1F">
        <w:rPr>
          <w:rFonts w:ascii="Cambria" w:hAnsi="Cambria" w:cs="Arial"/>
          <w:bCs/>
          <w:i/>
        </w:rPr>
        <w:t>, the lowest, average, and highest amount of payments made for each DRG, CPT code or procedure by each of the hospital’s (or ambulatory surgery center’s) top five largest health insurers.</w:t>
      </w:r>
    </w:p>
    <w:p w14:paraId="3FDCAE74" w14:textId="77777777" w:rsidR="00006C1B" w:rsidRPr="00006C1B" w:rsidRDefault="00006C1B" w:rsidP="00006C1B">
      <w:pPr>
        <w:pStyle w:val="Default"/>
        <w:rPr>
          <w:rFonts w:ascii="Cambria" w:hAnsi="Cambria" w:cs="Arial"/>
          <w:b/>
          <w:i/>
        </w:rPr>
      </w:pPr>
    </w:p>
    <w:p w14:paraId="21FCA55F" w14:textId="0206BFAE" w:rsidR="00006C1B" w:rsidRPr="00006C1B" w:rsidRDefault="00006C1B" w:rsidP="00006C1B">
      <w:pPr>
        <w:pStyle w:val="Default"/>
        <w:ind w:left="1440" w:hanging="1380"/>
        <w:rPr>
          <w:rFonts w:ascii="Cambria" w:hAnsi="Cambria" w:cs="Arial"/>
          <w:bCs/>
          <w:i/>
        </w:rPr>
      </w:pPr>
      <w:r w:rsidRPr="00006C1B">
        <w:rPr>
          <w:rFonts w:ascii="Cambria" w:hAnsi="Cambria" w:cs="Arial"/>
          <w:bCs/>
          <w:i/>
        </w:rPr>
        <w:t xml:space="preserve">(e)(5)(A) </w:t>
      </w:r>
      <w:r w:rsidRPr="00006C1B">
        <w:rPr>
          <w:rFonts w:ascii="Cambria" w:hAnsi="Cambria" w:cs="Arial"/>
          <w:bCs/>
          <w:i/>
        </w:rPr>
        <w:tab/>
        <w:t>each hospital (or ambulatory surgery center) shall determine its five largest health insurers based on the dollar volume of all payments received from those insurers.</w:t>
      </w:r>
    </w:p>
    <w:p w14:paraId="7460F9DC" w14:textId="77777777" w:rsidR="00006C1B" w:rsidRPr="00006C1B" w:rsidRDefault="00006C1B" w:rsidP="00006C1B">
      <w:pPr>
        <w:pStyle w:val="Default"/>
        <w:rPr>
          <w:rFonts w:ascii="Cambria" w:hAnsi="Cambria" w:cs="Arial"/>
          <w:bCs/>
          <w:i/>
        </w:rPr>
      </w:pPr>
    </w:p>
    <w:p w14:paraId="475E70A5"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 xml:space="preserve">(e)(5)(B) </w:t>
      </w:r>
      <w:r w:rsidRPr="00006C1B">
        <w:rPr>
          <w:rFonts w:ascii="Cambria" w:hAnsi="Cambria" w:cs="Arial"/>
          <w:bCs/>
          <w:i/>
        </w:rPr>
        <w:tab/>
        <w:t xml:space="preserve">the lowest amount of payment shall be reported as the lowest payment from each of the five insurers on the DRG (hospitals), CPT code, or procedure. </w:t>
      </w:r>
    </w:p>
    <w:p w14:paraId="0D14505F" w14:textId="77777777" w:rsidR="00006C1B" w:rsidRPr="00006C1B" w:rsidRDefault="00006C1B" w:rsidP="00006C1B">
      <w:pPr>
        <w:pStyle w:val="Default"/>
        <w:rPr>
          <w:rFonts w:ascii="Cambria" w:hAnsi="Cambria" w:cs="Arial"/>
          <w:bCs/>
          <w:i/>
        </w:rPr>
      </w:pPr>
    </w:p>
    <w:p w14:paraId="5F5C0B9A"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 xml:space="preserve">(e)(5)(C) </w:t>
      </w:r>
      <w:r w:rsidRPr="00006C1B">
        <w:rPr>
          <w:rFonts w:ascii="Cambria" w:hAnsi="Cambria" w:cs="Arial"/>
          <w:bCs/>
          <w:i/>
        </w:rPr>
        <w:tab/>
        <w:t>the average of amount of payment shall be reported as the arithmetic average of each of the five health insurers payment amounts;</w:t>
      </w:r>
    </w:p>
    <w:p w14:paraId="6935EA89" w14:textId="77777777" w:rsidR="00006C1B" w:rsidRPr="00006C1B" w:rsidRDefault="00006C1B" w:rsidP="00006C1B">
      <w:pPr>
        <w:pStyle w:val="Default"/>
        <w:rPr>
          <w:rFonts w:ascii="Cambria" w:hAnsi="Cambria" w:cs="Arial"/>
          <w:bCs/>
          <w:i/>
        </w:rPr>
      </w:pPr>
    </w:p>
    <w:p w14:paraId="54737092"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 xml:space="preserve">(e)(5)(D) </w:t>
      </w:r>
      <w:r w:rsidRPr="00006C1B">
        <w:rPr>
          <w:rFonts w:ascii="Cambria" w:hAnsi="Cambria" w:cs="Arial"/>
          <w:bCs/>
          <w:i/>
        </w:rPr>
        <w:tab/>
        <w:t xml:space="preserve">the highest amount of payment shall be reported as the highest payment from each of the five insurers on the DRG (hospitals), CPT code, or procedure; and </w:t>
      </w:r>
    </w:p>
    <w:p w14:paraId="6BB272F8" w14:textId="77777777" w:rsidR="00006C1B" w:rsidRPr="00006C1B" w:rsidRDefault="00006C1B" w:rsidP="00006C1B">
      <w:pPr>
        <w:pStyle w:val="Default"/>
        <w:rPr>
          <w:rFonts w:ascii="Cambria" w:hAnsi="Cambria" w:cs="Arial"/>
          <w:bCs/>
          <w:i/>
        </w:rPr>
      </w:pPr>
    </w:p>
    <w:p w14:paraId="37F17D72"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(e)(5)(E)</w:t>
      </w:r>
      <w:r w:rsidRPr="00006C1B">
        <w:rPr>
          <w:rFonts w:ascii="Cambria" w:hAnsi="Cambria" w:cs="Arial"/>
          <w:bCs/>
          <w:i/>
        </w:rPr>
        <w:tab/>
        <w:t>The identity of the top five largest health insurers shall be redacted prior to submission.</w:t>
      </w:r>
    </w:p>
    <w:p w14:paraId="544E7FFE" w14:textId="77777777" w:rsidR="00006C1B" w:rsidRPr="00006C1B" w:rsidRDefault="00006C1B" w:rsidP="00006C1B">
      <w:pPr>
        <w:pStyle w:val="Default"/>
        <w:ind w:left="360"/>
        <w:rPr>
          <w:rFonts w:ascii="Cambria" w:hAnsi="Cambria" w:cs="Arial"/>
        </w:rPr>
      </w:pPr>
    </w:p>
    <w:p w14:paraId="466640E0" w14:textId="101D6F96"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Reimbursement amounts to be listed in .2102 (e)(5) of the regulation should be based on each of the 5 largest health insurers (as measured by dollar volume of all payments received).  </w:t>
      </w:r>
    </w:p>
    <w:p w14:paraId="5BD3AFA2"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The amount reported from an insurer should include all of that insurer’s plans if multiple plans or products are offered. </w:t>
      </w:r>
    </w:p>
    <w:p w14:paraId="6305C705"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For each of the top five insurers, three data elements; the lowest, the highest and the average amount, should be recorded for each DRG, CPT code or procedure for the reporting period</w:t>
      </w:r>
    </w:p>
    <w:p w14:paraId="6FB0FD9B"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The average amount of payment should be based on the paid claims for each of the five insurers during the reporting period.</w:t>
      </w:r>
    </w:p>
    <w:p w14:paraId="73FE07A2" w14:textId="4E18B001" w:rsidR="00006C1B" w:rsidRPr="00006C1B" w:rsidRDefault="00006C1B" w:rsidP="00006C1B">
      <w:pPr>
        <w:pStyle w:val="Default"/>
        <w:numPr>
          <w:ilvl w:val="0"/>
          <w:numId w:val="1"/>
        </w:numPr>
        <w:rPr>
          <w:rFonts w:ascii="Cambria" w:hAnsi="Cambria" w:cs="Arial"/>
        </w:rPr>
      </w:pPr>
      <w:r w:rsidRPr="00006C1B">
        <w:rPr>
          <w:rFonts w:ascii="Cambria" w:hAnsi="Cambria" w:cs="Arial"/>
        </w:rPr>
        <w:t>Report all payments including the patient portion.</w:t>
      </w:r>
    </w:p>
    <w:p w14:paraId="2424E7D0" w14:textId="77777777" w:rsidR="00006C1B" w:rsidRPr="00006C1B" w:rsidRDefault="00006C1B" w:rsidP="00006C1B">
      <w:pPr>
        <w:pStyle w:val="Default"/>
        <w:ind w:left="360"/>
        <w:rPr>
          <w:rFonts w:ascii="Cambria" w:hAnsi="Cambria" w:cs="Arial"/>
        </w:rPr>
      </w:pPr>
    </w:p>
    <w:p w14:paraId="7377DA71" w14:textId="36DDE683" w:rsidR="00006C1B" w:rsidRPr="00974F1F" w:rsidRDefault="00006C1B" w:rsidP="00006C1B">
      <w:pPr>
        <w:pStyle w:val="Default"/>
        <w:rPr>
          <w:rFonts w:ascii="Cambria" w:hAnsi="Cambria" w:cs="Arial"/>
          <w:i/>
        </w:rPr>
      </w:pPr>
      <w:r w:rsidRPr="00974F1F">
        <w:rPr>
          <w:rFonts w:ascii="Cambria" w:hAnsi="Cambria" w:cs="Arial"/>
          <w:i/>
        </w:rPr>
        <w:t xml:space="preserve">(f) The data reported, as defined in Paragraphs (B) through (D) of this Rule, shall reflect the payments received from patients and health insurers for </w:t>
      </w:r>
      <w:r w:rsidRPr="00974F1F">
        <w:rPr>
          <w:rFonts w:ascii="Cambria" w:hAnsi="Cambria" w:cs="Arial"/>
          <w:b/>
          <w:bCs/>
          <w:i/>
        </w:rPr>
        <w:t>all closed accounts</w:t>
      </w:r>
      <w:r w:rsidRPr="00974F1F">
        <w:rPr>
          <w:rFonts w:ascii="Cambria" w:hAnsi="Cambria" w:cs="Arial"/>
          <w:i/>
        </w:rPr>
        <w:t xml:space="preserve">. For the purpose of this Rule, closed accounts are patient accounts with a zero balance at the end of the annual data-reporting period. </w:t>
      </w:r>
    </w:p>
    <w:p w14:paraId="79E10228" w14:textId="77777777" w:rsidR="00006C1B" w:rsidRPr="00006C1B" w:rsidRDefault="00006C1B" w:rsidP="00006C1B">
      <w:pPr>
        <w:pStyle w:val="Default"/>
        <w:rPr>
          <w:rFonts w:ascii="Cambria" w:hAnsi="Cambria" w:cs="Arial"/>
          <w:b/>
          <w:bCs/>
          <w:i/>
        </w:rPr>
      </w:pPr>
    </w:p>
    <w:p w14:paraId="58042659"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Count all reimbursements received from claims that went to a zero balance in active accounts receivable </w:t>
      </w:r>
      <w:r w:rsidRPr="00006C1B">
        <w:rPr>
          <w:rFonts w:ascii="Cambria" w:hAnsi="Cambria" w:cs="Arial"/>
          <w:i/>
          <w:iCs/>
        </w:rPr>
        <w:t>(regardless of when care was provided) </w:t>
      </w:r>
      <w:r w:rsidRPr="00006C1B">
        <w:rPr>
          <w:rFonts w:ascii="Cambria" w:hAnsi="Cambria" w:cs="Arial"/>
        </w:rPr>
        <w:t>during the data-reporting period. Include in your report those accounts that your facility considers closed and has written off, regardless of post write-off collection activity.</w:t>
      </w:r>
    </w:p>
    <w:p w14:paraId="11DF0AED" w14:textId="77777777" w:rsidR="00006C1B" w:rsidRPr="00006C1B" w:rsidRDefault="00006C1B" w:rsidP="00006C1B">
      <w:pPr>
        <w:pStyle w:val="Default"/>
        <w:rPr>
          <w:rFonts w:ascii="Cambria" w:hAnsi="Cambria" w:cs="Arial"/>
          <w:b/>
          <w:bCs/>
          <w:i/>
        </w:rPr>
      </w:pPr>
    </w:p>
    <w:p w14:paraId="32400391" w14:textId="481CBF2D" w:rsidR="00006C1B" w:rsidRPr="00974F1F" w:rsidRDefault="00006C1B" w:rsidP="00006C1B">
      <w:pPr>
        <w:pStyle w:val="Default"/>
        <w:rPr>
          <w:rFonts w:ascii="Cambria" w:hAnsi="Cambria" w:cs="Arial"/>
          <w:i/>
        </w:rPr>
      </w:pPr>
      <w:r w:rsidRPr="00974F1F">
        <w:rPr>
          <w:rFonts w:ascii="Cambria" w:hAnsi="Cambria" w:cs="Arial"/>
          <w:i/>
        </w:rPr>
        <w:t xml:space="preserve">(g) A </w:t>
      </w:r>
      <w:r w:rsidRPr="00974F1F">
        <w:rPr>
          <w:rFonts w:ascii="Cambria" w:hAnsi="Cambria" w:cs="Arial"/>
          <w:b/>
          <w:bCs/>
          <w:i/>
        </w:rPr>
        <w:t>minimum of three data elements</w:t>
      </w:r>
      <w:r w:rsidRPr="00974F1F">
        <w:rPr>
          <w:rFonts w:ascii="Cambria" w:hAnsi="Cambria" w:cs="Arial"/>
          <w:i/>
        </w:rPr>
        <w:t xml:space="preserve"> shall be required for reporting under Paragraphs (c) and (d) of this Rule. </w:t>
      </w:r>
    </w:p>
    <w:p w14:paraId="4BED129A" w14:textId="77777777" w:rsidR="00006C1B" w:rsidRPr="00006C1B" w:rsidRDefault="00006C1B" w:rsidP="00006C1B">
      <w:pPr>
        <w:pStyle w:val="Default"/>
        <w:ind w:left="360"/>
        <w:rPr>
          <w:rFonts w:ascii="Cambria" w:hAnsi="Cambria" w:cs="Arial"/>
          <w:bCs/>
        </w:rPr>
      </w:pPr>
    </w:p>
    <w:p w14:paraId="0B5B618D" w14:textId="6700EB42" w:rsidR="00006C1B" w:rsidRPr="00006C1B" w:rsidRDefault="00006C1B" w:rsidP="00006C1B">
      <w:pPr>
        <w:pStyle w:val="Default"/>
        <w:numPr>
          <w:ilvl w:val="0"/>
          <w:numId w:val="1"/>
        </w:numPr>
        <w:rPr>
          <w:rFonts w:ascii="Cambria" w:hAnsi="Cambria" w:cs="Arial"/>
          <w:bCs/>
        </w:rPr>
      </w:pPr>
      <w:r w:rsidRPr="00006C1B">
        <w:rPr>
          <w:rFonts w:ascii="Cambria" w:hAnsi="Cambria" w:cs="Arial"/>
          <w:bCs/>
        </w:rPr>
        <w:t xml:space="preserve">The rule </w:t>
      </w:r>
      <w:r w:rsidRPr="00006C1B">
        <w:rPr>
          <w:rFonts w:ascii="Cambria" w:hAnsi="Cambria" w:cs="Arial"/>
        </w:rPr>
        <w:t xml:space="preserve">establishes that only those DRG’s, CPT codes or procedures where three or more cases exist per data reporting period shall be reported under each of the five reporting categories. </w:t>
      </w:r>
    </w:p>
    <w:p w14:paraId="294E3279" w14:textId="77777777" w:rsidR="00006C1B" w:rsidRPr="00006C1B" w:rsidRDefault="00006C1B" w:rsidP="00006C1B">
      <w:pPr>
        <w:pStyle w:val="Default"/>
        <w:ind w:left="360"/>
        <w:rPr>
          <w:rFonts w:ascii="Cambria" w:hAnsi="Cambria" w:cs="Arial"/>
          <w:bCs/>
        </w:rPr>
      </w:pPr>
    </w:p>
    <w:p w14:paraId="4BBA210F" w14:textId="77777777" w:rsidR="00006C1B" w:rsidRPr="00974F1F" w:rsidRDefault="00006C1B" w:rsidP="00006C1B">
      <w:pPr>
        <w:pStyle w:val="Default"/>
        <w:rPr>
          <w:rFonts w:ascii="Cambria" w:hAnsi="Cambria" w:cs="Arial"/>
          <w:bCs/>
          <w:i/>
        </w:rPr>
      </w:pPr>
      <w:r w:rsidRPr="00974F1F">
        <w:rPr>
          <w:rFonts w:ascii="Cambria" w:hAnsi="Cambria" w:cs="Arial"/>
          <w:bCs/>
          <w:i/>
        </w:rPr>
        <w:t xml:space="preserve">(h) The information submitted in the report </w:t>
      </w:r>
      <w:r w:rsidRPr="00974F1F">
        <w:rPr>
          <w:rFonts w:ascii="Cambria" w:hAnsi="Cambria" w:cs="Arial"/>
          <w:b/>
          <w:i/>
        </w:rPr>
        <w:t>shall be in compliance</w:t>
      </w:r>
      <w:r w:rsidRPr="00974F1F">
        <w:rPr>
          <w:rFonts w:ascii="Cambria" w:hAnsi="Cambria" w:cs="Arial"/>
          <w:bCs/>
          <w:i/>
        </w:rPr>
        <w:t xml:space="preserve"> with the federal Health Insurance Portability and Accountability Act of 1996, 45 CFR Part 164. </w:t>
      </w:r>
    </w:p>
    <w:p w14:paraId="3E931730" w14:textId="77777777" w:rsidR="00006C1B" w:rsidRPr="00006C1B" w:rsidRDefault="00006C1B" w:rsidP="00006C1B">
      <w:pPr>
        <w:pStyle w:val="Default"/>
        <w:rPr>
          <w:rFonts w:ascii="Cambria" w:hAnsi="Cambria" w:cs="Arial"/>
        </w:rPr>
      </w:pPr>
    </w:p>
    <w:p w14:paraId="0FD843DC" w14:textId="4E6E2B4E" w:rsidR="00880A61" w:rsidRPr="00006C1B" w:rsidRDefault="00880A61" w:rsidP="00006C1B">
      <w:pPr>
        <w:pStyle w:val="Default"/>
        <w:rPr>
          <w:rFonts w:ascii="Cambria" w:hAnsi="Cambria" w:cs="Arial"/>
        </w:rPr>
      </w:pPr>
    </w:p>
    <w:sectPr w:rsidR="00880A61" w:rsidRPr="00006C1B" w:rsidSect="000E0722">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806"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E2CF" w14:textId="77777777" w:rsidR="009B2682" w:rsidRDefault="009B2682" w:rsidP="008C5549">
      <w:r>
        <w:separator/>
      </w:r>
    </w:p>
  </w:endnote>
  <w:endnote w:type="continuationSeparator" w:id="0">
    <w:p w14:paraId="0FE2B6AD" w14:textId="77777777" w:rsidR="009B2682" w:rsidRDefault="009B2682" w:rsidP="008C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ACFF" w:usb2="00000009" w:usb3="00000000" w:csb0="000001FF" w:csb1="00000000"/>
  </w:font>
  <w:font w:name="Proxima Nova">
    <w:panose1 w:val="02000506030000020004"/>
    <w:charset w:val="4D"/>
    <w:family w:val="auto"/>
    <w:notTrueType/>
    <w:pitch w:val="variable"/>
    <w:sig w:usb0="800000AF" w:usb1="5000E0FB" w:usb2="0000000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A6D4" w14:textId="77777777" w:rsidR="00A23893" w:rsidRDefault="00A2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D98A" w14:textId="77777777" w:rsidR="00A23893" w:rsidRDefault="00A23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8FA3" w14:textId="77777777" w:rsidR="001001D4" w:rsidRDefault="00A23893">
    <w:pPr>
      <w:pStyle w:val="Footer"/>
    </w:pPr>
    <w:r w:rsidRPr="00A23893">
      <w:rPr>
        <w:noProof/>
      </w:rPr>
      <w:drawing>
        <wp:inline distT="0" distB="0" distL="0" distR="0" wp14:anchorId="25549DEF" wp14:editId="3A3B99F7">
          <wp:extent cx="6165215" cy="3425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5823" cy="3542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B7BE4" w14:textId="77777777" w:rsidR="009B2682" w:rsidRDefault="009B2682" w:rsidP="008C5549">
      <w:r>
        <w:separator/>
      </w:r>
    </w:p>
  </w:footnote>
  <w:footnote w:type="continuationSeparator" w:id="0">
    <w:p w14:paraId="1D1AEDD2" w14:textId="77777777" w:rsidR="009B2682" w:rsidRDefault="009B2682" w:rsidP="008C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6C5A" w14:textId="77777777" w:rsidR="00A23893" w:rsidRDefault="00A23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BA5B" w14:textId="77777777" w:rsidR="00BF7CFA" w:rsidRPr="00BF7CFA" w:rsidRDefault="00BF7CFA" w:rsidP="00BF7CFA">
    <w:pPr>
      <w:pStyle w:val="Header"/>
      <w:jc w:val="right"/>
      <w:rPr>
        <w:rFonts w:asciiTheme="minorBidi" w:hAnsiTheme="minorBidi" w:cstheme="minorBidi"/>
        <w:sz w:val="18"/>
        <w:szCs w:val="18"/>
      </w:rPr>
    </w:pPr>
    <w:r w:rsidRPr="00BF7CFA">
      <w:rPr>
        <w:rFonts w:asciiTheme="minorBidi" w:hAnsiTheme="minorBidi" w:cstheme="minorBidi"/>
        <w:sz w:val="18"/>
        <w:szCs w:val="18"/>
      </w:rPr>
      <w:t xml:space="preserve">Page </w:t>
    </w:r>
    <w:r w:rsidRPr="00BF7CFA">
      <w:rPr>
        <w:rFonts w:asciiTheme="minorBidi" w:hAnsiTheme="minorBidi" w:cstheme="minorBidi"/>
        <w:sz w:val="18"/>
        <w:szCs w:val="18"/>
      </w:rPr>
      <w:fldChar w:fldCharType="begin"/>
    </w:r>
    <w:r w:rsidRPr="00BF7CFA">
      <w:rPr>
        <w:rFonts w:asciiTheme="minorBidi" w:hAnsiTheme="minorBidi" w:cstheme="minorBidi"/>
        <w:sz w:val="18"/>
        <w:szCs w:val="18"/>
      </w:rPr>
      <w:instrText xml:space="preserve"> PAGE </w:instrText>
    </w:r>
    <w:r w:rsidRPr="00BF7CFA">
      <w:rPr>
        <w:rFonts w:asciiTheme="minorBidi" w:hAnsiTheme="minorBidi" w:cstheme="minorBidi"/>
        <w:sz w:val="18"/>
        <w:szCs w:val="18"/>
      </w:rPr>
      <w:fldChar w:fldCharType="separate"/>
    </w:r>
    <w:r w:rsidR="00D60108">
      <w:rPr>
        <w:rFonts w:asciiTheme="minorBidi" w:hAnsiTheme="minorBidi" w:cstheme="minorBidi"/>
        <w:noProof/>
        <w:sz w:val="18"/>
        <w:szCs w:val="18"/>
      </w:rPr>
      <w:t>2</w:t>
    </w:r>
    <w:r w:rsidRPr="00BF7CFA">
      <w:rPr>
        <w:rFonts w:asciiTheme="minorBidi" w:hAnsiTheme="minorBidi" w:cstheme="minorBidi"/>
        <w:sz w:val="18"/>
        <w:szCs w:val="18"/>
      </w:rPr>
      <w:fldChar w:fldCharType="end"/>
    </w:r>
    <w:r w:rsidRPr="00BF7CFA">
      <w:rPr>
        <w:rFonts w:asciiTheme="minorBidi" w:hAnsiTheme="minorBidi" w:cstheme="minorBidi"/>
        <w:sz w:val="18"/>
        <w:szCs w:val="18"/>
      </w:rPr>
      <w:t xml:space="preserve"> of </w:t>
    </w:r>
    <w:r w:rsidRPr="00BF7CFA">
      <w:rPr>
        <w:rFonts w:asciiTheme="minorBidi" w:hAnsiTheme="minorBidi" w:cstheme="minorBidi"/>
        <w:sz w:val="18"/>
        <w:szCs w:val="18"/>
      </w:rPr>
      <w:fldChar w:fldCharType="begin"/>
    </w:r>
    <w:r w:rsidRPr="00BF7CFA">
      <w:rPr>
        <w:rFonts w:asciiTheme="minorBidi" w:hAnsiTheme="minorBidi" w:cstheme="minorBidi"/>
        <w:sz w:val="18"/>
        <w:szCs w:val="18"/>
      </w:rPr>
      <w:instrText xml:space="preserve"> NUMPAGES </w:instrText>
    </w:r>
    <w:r w:rsidRPr="00BF7CFA">
      <w:rPr>
        <w:rFonts w:asciiTheme="minorBidi" w:hAnsiTheme="minorBidi" w:cstheme="minorBidi"/>
        <w:sz w:val="18"/>
        <w:szCs w:val="18"/>
      </w:rPr>
      <w:fldChar w:fldCharType="separate"/>
    </w:r>
    <w:r w:rsidR="00D60108">
      <w:rPr>
        <w:rFonts w:asciiTheme="minorBidi" w:hAnsiTheme="minorBidi" w:cstheme="minorBidi"/>
        <w:noProof/>
        <w:sz w:val="18"/>
        <w:szCs w:val="18"/>
      </w:rPr>
      <w:t>2</w:t>
    </w:r>
    <w:r w:rsidRPr="00BF7CFA">
      <w:rPr>
        <w:rFonts w:asciiTheme="minorBidi" w:hAnsiTheme="minorBidi" w:cstheme="minorBidi"/>
        <w:sz w:val="18"/>
        <w:szCs w:val="18"/>
      </w:rPr>
      <w:fldChar w:fldCharType="end"/>
    </w:r>
  </w:p>
  <w:p w14:paraId="73C3DFEA" w14:textId="77777777" w:rsidR="00BF7CFA" w:rsidRDefault="00BF7CFA" w:rsidP="00BF7CFA">
    <w:pPr>
      <w:pStyle w:val="Header"/>
      <w:jc w:val="right"/>
      <w:rPr>
        <w:rFonts w:ascii="Times New Roman" w:hAnsi="Times New Roman" w:cs="Times New Roman"/>
        <w:sz w:val="24"/>
        <w:szCs w:val="24"/>
      </w:rPr>
    </w:pPr>
  </w:p>
  <w:p w14:paraId="3C721050" w14:textId="77777777" w:rsidR="00BF7CFA" w:rsidRDefault="00BF7CFA" w:rsidP="00BF7CF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BCCD" w14:textId="77777777" w:rsidR="001001D4" w:rsidRDefault="00BF7CFA">
    <w:pPr>
      <w:pStyle w:val="Header"/>
    </w:pPr>
    <w:r w:rsidRPr="00BF7CFA">
      <w:rPr>
        <w:noProof/>
      </w:rPr>
      <w:drawing>
        <wp:inline distT="0" distB="0" distL="0" distR="0" wp14:anchorId="1EAC0143" wp14:editId="47B92887">
          <wp:extent cx="6316841" cy="8193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20057" cy="819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5257F"/>
    <w:multiLevelType w:val="hybridMultilevel"/>
    <w:tmpl w:val="0094A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D8C"/>
    <w:rsid w:val="00006C1B"/>
    <w:rsid w:val="00021230"/>
    <w:rsid w:val="00051984"/>
    <w:rsid w:val="0006402F"/>
    <w:rsid w:val="000906DE"/>
    <w:rsid w:val="000C7C0A"/>
    <w:rsid w:val="000E0722"/>
    <w:rsid w:val="001001D4"/>
    <w:rsid w:val="0014046B"/>
    <w:rsid w:val="00143129"/>
    <w:rsid w:val="00152D4C"/>
    <w:rsid w:val="001B36DE"/>
    <w:rsid w:val="001C2996"/>
    <w:rsid w:val="001E0A4E"/>
    <w:rsid w:val="001E212B"/>
    <w:rsid w:val="00201C04"/>
    <w:rsid w:val="00274587"/>
    <w:rsid w:val="002C4EF1"/>
    <w:rsid w:val="002D5619"/>
    <w:rsid w:val="002E7DD9"/>
    <w:rsid w:val="003210D1"/>
    <w:rsid w:val="00384FE7"/>
    <w:rsid w:val="003A3D8C"/>
    <w:rsid w:val="00437615"/>
    <w:rsid w:val="004654CF"/>
    <w:rsid w:val="0053147C"/>
    <w:rsid w:val="00552654"/>
    <w:rsid w:val="00585763"/>
    <w:rsid w:val="00586731"/>
    <w:rsid w:val="00622EB3"/>
    <w:rsid w:val="006F200F"/>
    <w:rsid w:val="00715F4B"/>
    <w:rsid w:val="00716B64"/>
    <w:rsid w:val="00797322"/>
    <w:rsid w:val="007A6214"/>
    <w:rsid w:val="007E4DE5"/>
    <w:rsid w:val="00814071"/>
    <w:rsid w:val="00853EE7"/>
    <w:rsid w:val="008725B7"/>
    <w:rsid w:val="00880A61"/>
    <w:rsid w:val="008C5549"/>
    <w:rsid w:val="00943D50"/>
    <w:rsid w:val="00953575"/>
    <w:rsid w:val="00962A98"/>
    <w:rsid w:val="00974F1F"/>
    <w:rsid w:val="009B2682"/>
    <w:rsid w:val="009E321C"/>
    <w:rsid w:val="009E6109"/>
    <w:rsid w:val="00A1446D"/>
    <w:rsid w:val="00A23893"/>
    <w:rsid w:val="00A3038F"/>
    <w:rsid w:val="00A5363A"/>
    <w:rsid w:val="00A53963"/>
    <w:rsid w:val="00AA7785"/>
    <w:rsid w:val="00AC1CD2"/>
    <w:rsid w:val="00AC76DE"/>
    <w:rsid w:val="00AE7A56"/>
    <w:rsid w:val="00B36379"/>
    <w:rsid w:val="00B754C5"/>
    <w:rsid w:val="00BB3FD7"/>
    <w:rsid w:val="00BC4B69"/>
    <w:rsid w:val="00BF7CFA"/>
    <w:rsid w:val="00C02544"/>
    <w:rsid w:val="00C17133"/>
    <w:rsid w:val="00C30498"/>
    <w:rsid w:val="00D07943"/>
    <w:rsid w:val="00D3527D"/>
    <w:rsid w:val="00D60108"/>
    <w:rsid w:val="00D81753"/>
    <w:rsid w:val="00D8404A"/>
    <w:rsid w:val="00DF1352"/>
    <w:rsid w:val="00DF48B6"/>
    <w:rsid w:val="00E352AE"/>
    <w:rsid w:val="00E40F75"/>
    <w:rsid w:val="00EC296F"/>
    <w:rsid w:val="00EE6B8C"/>
    <w:rsid w:val="00F020DC"/>
    <w:rsid w:val="00F57422"/>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73EDA"/>
  <w14:defaultImageDpi w14:val="300"/>
  <w15:chartTrackingRefBased/>
  <w15:docId w15:val="{65B34070-5EB3-9A4B-8D16-159E0F76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heme="minorHAnsi" w:hAnsi="Microsoft Sans Serif" w:cs="Microsoft Sans Serif"/>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49"/>
    <w:pPr>
      <w:tabs>
        <w:tab w:val="center" w:pos="4680"/>
        <w:tab w:val="right" w:pos="9360"/>
      </w:tabs>
    </w:pPr>
  </w:style>
  <w:style w:type="character" w:customStyle="1" w:styleId="HeaderChar">
    <w:name w:val="Header Char"/>
    <w:basedOn w:val="DefaultParagraphFont"/>
    <w:link w:val="Header"/>
    <w:uiPriority w:val="99"/>
    <w:rsid w:val="008C5549"/>
  </w:style>
  <w:style w:type="paragraph" w:styleId="Footer">
    <w:name w:val="footer"/>
    <w:basedOn w:val="Normal"/>
    <w:link w:val="FooterChar"/>
    <w:uiPriority w:val="99"/>
    <w:unhideWhenUsed/>
    <w:rsid w:val="008C5549"/>
    <w:pPr>
      <w:tabs>
        <w:tab w:val="center" w:pos="4680"/>
        <w:tab w:val="right" w:pos="9360"/>
      </w:tabs>
    </w:pPr>
  </w:style>
  <w:style w:type="character" w:customStyle="1" w:styleId="FooterChar">
    <w:name w:val="Footer Char"/>
    <w:basedOn w:val="DefaultParagraphFont"/>
    <w:link w:val="Footer"/>
    <w:uiPriority w:val="99"/>
    <w:rsid w:val="008C5549"/>
  </w:style>
  <w:style w:type="paragraph" w:customStyle="1" w:styleId="Default">
    <w:name w:val="Default"/>
    <w:rsid w:val="002E7DD9"/>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rsid w:val="002E7DD9"/>
    <w:rPr>
      <w:color w:val="0000FF"/>
      <w:u w:val="single"/>
    </w:rPr>
  </w:style>
  <w:style w:type="paragraph" w:styleId="BalloonText">
    <w:name w:val="Balloon Text"/>
    <w:basedOn w:val="Normal"/>
    <w:link w:val="BalloonTextChar"/>
    <w:uiPriority w:val="99"/>
    <w:semiHidden/>
    <w:unhideWhenUsed/>
    <w:rsid w:val="00DF13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135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E0A4E"/>
    <w:rPr>
      <w:sz w:val="16"/>
      <w:szCs w:val="16"/>
    </w:rPr>
  </w:style>
  <w:style w:type="paragraph" w:styleId="CommentText">
    <w:name w:val="annotation text"/>
    <w:basedOn w:val="Normal"/>
    <w:link w:val="CommentTextChar"/>
    <w:uiPriority w:val="99"/>
    <w:semiHidden/>
    <w:unhideWhenUsed/>
    <w:rsid w:val="001E0A4E"/>
    <w:rPr>
      <w:sz w:val="20"/>
      <w:szCs w:val="20"/>
    </w:rPr>
  </w:style>
  <w:style w:type="character" w:customStyle="1" w:styleId="CommentTextChar">
    <w:name w:val="Comment Text Char"/>
    <w:basedOn w:val="DefaultParagraphFont"/>
    <w:link w:val="CommentText"/>
    <w:uiPriority w:val="99"/>
    <w:semiHidden/>
    <w:rsid w:val="001E0A4E"/>
    <w:rPr>
      <w:sz w:val="20"/>
      <w:szCs w:val="20"/>
    </w:rPr>
  </w:style>
  <w:style w:type="paragraph" w:styleId="CommentSubject">
    <w:name w:val="annotation subject"/>
    <w:basedOn w:val="CommentText"/>
    <w:next w:val="CommentText"/>
    <w:link w:val="CommentSubjectChar"/>
    <w:uiPriority w:val="99"/>
    <w:semiHidden/>
    <w:unhideWhenUsed/>
    <w:rsid w:val="001E0A4E"/>
    <w:rPr>
      <w:b/>
      <w:bCs/>
    </w:rPr>
  </w:style>
  <w:style w:type="character" w:customStyle="1" w:styleId="CommentSubjectChar">
    <w:name w:val="Comment Subject Char"/>
    <w:basedOn w:val="CommentTextChar"/>
    <w:link w:val="CommentSubject"/>
    <w:uiPriority w:val="99"/>
    <w:semiHidden/>
    <w:rsid w:val="001E0A4E"/>
    <w:rPr>
      <w:b/>
      <w:bCs/>
      <w:sz w:val="20"/>
      <w:szCs w:val="20"/>
    </w:rPr>
  </w:style>
  <w:style w:type="paragraph" w:styleId="Revision">
    <w:name w:val="Revision"/>
    <w:hidden/>
    <w:uiPriority w:val="99"/>
    <w:semiHidden/>
    <w:rsid w:val="00DF48B6"/>
  </w:style>
  <w:style w:type="paragraph" w:styleId="NormalWeb">
    <w:name w:val="Normal (Web)"/>
    <w:basedOn w:val="Normal"/>
    <w:uiPriority w:val="99"/>
    <w:semiHidden/>
    <w:unhideWhenUsed/>
    <w:rsid w:val="00DF48B6"/>
    <w:rPr>
      <w:rFonts w:ascii="Times New Roman" w:hAnsi="Times New Roman" w:cs="Times New Roman"/>
      <w:sz w:val="24"/>
      <w:szCs w:val="24"/>
    </w:rPr>
  </w:style>
  <w:style w:type="character" w:styleId="UnresolvedMention">
    <w:name w:val="Unresolved Mention"/>
    <w:basedOn w:val="DefaultParagraphFont"/>
    <w:uiPriority w:val="99"/>
    <w:rsid w:val="00006C1B"/>
    <w:rPr>
      <w:color w:val="605E5C"/>
      <w:shd w:val="clear" w:color="auto" w:fill="E1DFDD"/>
    </w:rPr>
  </w:style>
  <w:style w:type="character" w:styleId="FollowedHyperlink">
    <w:name w:val="FollowedHyperlink"/>
    <w:basedOn w:val="DefaultParagraphFont"/>
    <w:uiPriority w:val="99"/>
    <w:semiHidden/>
    <w:unhideWhenUsed/>
    <w:rsid w:val="00006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054">
      <w:bodyDiv w:val="1"/>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1784499132">
              <w:marLeft w:val="0"/>
              <w:marRight w:val="0"/>
              <w:marTop w:val="0"/>
              <w:marBottom w:val="0"/>
              <w:divBdr>
                <w:top w:val="none" w:sz="0" w:space="0" w:color="auto"/>
                <w:left w:val="none" w:sz="0" w:space="0" w:color="auto"/>
                <w:bottom w:val="none" w:sz="0" w:space="0" w:color="auto"/>
                <w:right w:val="none" w:sz="0" w:space="0" w:color="auto"/>
              </w:divBdr>
              <w:divsChild>
                <w:div w:id="1755274443">
                  <w:marLeft w:val="0"/>
                  <w:marRight w:val="0"/>
                  <w:marTop w:val="0"/>
                  <w:marBottom w:val="0"/>
                  <w:divBdr>
                    <w:top w:val="none" w:sz="0" w:space="0" w:color="auto"/>
                    <w:left w:val="none" w:sz="0" w:space="0" w:color="auto"/>
                    <w:bottom w:val="none" w:sz="0" w:space="0" w:color="auto"/>
                    <w:right w:val="none" w:sz="0" w:space="0" w:color="auto"/>
                  </w:divBdr>
                  <w:divsChild>
                    <w:div w:id="6959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4133">
      <w:bodyDiv w:val="1"/>
      <w:marLeft w:val="0"/>
      <w:marRight w:val="0"/>
      <w:marTop w:val="0"/>
      <w:marBottom w:val="0"/>
      <w:divBdr>
        <w:top w:val="none" w:sz="0" w:space="0" w:color="auto"/>
        <w:left w:val="none" w:sz="0" w:space="0" w:color="auto"/>
        <w:bottom w:val="none" w:sz="0" w:space="0" w:color="auto"/>
        <w:right w:val="none" w:sz="0" w:space="0" w:color="auto"/>
      </w:divBdr>
      <w:divsChild>
        <w:div w:id="1329867572">
          <w:marLeft w:val="0"/>
          <w:marRight w:val="0"/>
          <w:marTop w:val="0"/>
          <w:marBottom w:val="0"/>
          <w:divBdr>
            <w:top w:val="none" w:sz="0" w:space="0" w:color="auto"/>
            <w:left w:val="none" w:sz="0" w:space="0" w:color="auto"/>
            <w:bottom w:val="none" w:sz="0" w:space="0" w:color="auto"/>
            <w:right w:val="none" w:sz="0" w:space="0" w:color="auto"/>
          </w:divBdr>
          <w:divsChild>
            <w:div w:id="2113552921">
              <w:marLeft w:val="0"/>
              <w:marRight w:val="0"/>
              <w:marTop w:val="0"/>
              <w:marBottom w:val="0"/>
              <w:divBdr>
                <w:top w:val="none" w:sz="0" w:space="0" w:color="auto"/>
                <w:left w:val="none" w:sz="0" w:space="0" w:color="auto"/>
                <w:bottom w:val="none" w:sz="0" w:space="0" w:color="auto"/>
                <w:right w:val="none" w:sz="0" w:space="0" w:color="auto"/>
              </w:divBdr>
              <w:divsChild>
                <w:div w:id="1794324854">
                  <w:marLeft w:val="0"/>
                  <w:marRight w:val="0"/>
                  <w:marTop w:val="0"/>
                  <w:marBottom w:val="0"/>
                  <w:divBdr>
                    <w:top w:val="none" w:sz="0" w:space="0" w:color="auto"/>
                    <w:left w:val="none" w:sz="0" w:space="0" w:color="auto"/>
                    <w:bottom w:val="none" w:sz="0" w:space="0" w:color="auto"/>
                    <w:right w:val="none" w:sz="0" w:space="0" w:color="auto"/>
                  </w:divBdr>
                  <w:divsChild>
                    <w:div w:id="8112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15506">
      <w:bodyDiv w:val="1"/>
      <w:marLeft w:val="0"/>
      <w:marRight w:val="0"/>
      <w:marTop w:val="0"/>
      <w:marBottom w:val="0"/>
      <w:divBdr>
        <w:top w:val="none" w:sz="0" w:space="0" w:color="auto"/>
        <w:left w:val="none" w:sz="0" w:space="0" w:color="auto"/>
        <w:bottom w:val="none" w:sz="0" w:space="0" w:color="auto"/>
        <w:right w:val="none" w:sz="0" w:space="0" w:color="auto"/>
      </w:divBdr>
      <w:divsChild>
        <w:div w:id="1818760541">
          <w:marLeft w:val="0"/>
          <w:marRight w:val="0"/>
          <w:marTop w:val="0"/>
          <w:marBottom w:val="0"/>
          <w:divBdr>
            <w:top w:val="none" w:sz="0" w:space="0" w:color="auto"/>
            <w:left w:val="none" w:sz="0" w:space="0" w:color="auto"/>
            <w:bottom w:val="none" w:sz="0" w:space="0" w:color="auto"/>
            <w:right w:val="none" w:sz="0" w:space="0" w:color="auto"/>
          </w:divBdr>
          <w:divsChild>
            <w:div w:id="278727220">
              <w:marLeft w:val="0"/>
              <w:marRight w:val="0"/>
              <w:marTop w:val="0"/>
              <w:marBottom w:val="0"/>
              <w:divBdr>
                <w:top w:val="none" w:sz="0" w:space="0" w:color="auto"/>
                <w:left w:val="none" w:sz="0" w:space="0" w:color="auto"/>
                <w:bottom w:val="none" w:sz="0" w:space="0" w:color="auto"/>
                <w:right w:val="none" w:sz="0" w:space="0" w:color="auto"/>
              </w:divBdr>
              <w:divsChild>
                <w:div w:id="32074970">
                  <w:marLeft w:val="0"/>
                  <w:marRight w:val="0"/>
                  <w:marTop w:val="0"/>
                  <w:marBottom w:val="0"/>
                  <w:divBdr>
                    <w:top w:val="none" w:sz="0" w:space="0" w:color="auto"/>
                    <w:left w:val="none" w:sz="0" w:space="0" w:color="auto"/>
                    <w:bottom w:val="none" w:sz="0" w:space="0" w:color="auto"/>
                    <w:right w:val="none" w:sz="0" w:space="0" w:color="auto"/>
                  </w:divBdr>
                  <w:divsChild>
                    <w:div w:id="1217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2799">
      <w:bodyDiv w:val="1"/>
      <w:marLeft w:val="0"/>
      <w:marRight w:val="0"/>
      <w:marTop w:val="0"/>
      <w:marBottom w:val="0"/>
      <w:divBdr>
        <w:top w:val="none" w:sz="0" w:space="0" w:color="auto"/>
        <w:left w:val="none" w:sz="0" w:space="0" w:color="auto"/>
        <w:bottom w:val="none" w:sz="0" w:space="0" w:color="auto"/>
        <w:right w:val="none" w:sz="0" w:space="0" w:color="auto"/>
      </w:divBdr>
      <w:divsChild>
        <w:div w:id="1607081526">
          <w:marLeft w:val="0"/>
          <w:marRight w:val="0"/>
          <w:marTop w:val="0"/>
          <w:marBottom w:val="0"/>
          <w:divBdr>
            <w:top w:val="none" w:sz="0" w:space="0" w:color="auto"/>
            <w:left w:val="none" w:sz="0" w:space="0" w:color="auto"/>
            <w:bottom w:val="none" w:sz="0" w:space="0" w:color="auto"/>
            <w:right w:val="none" w:sz="0" w:space="0" w:color="auto"/>
          </w:divBdr>
          <w:divsChild>
            <w:div w:id="123470744">
              <w:marLeft w:val="0"/>
              <w:marRight w:val="0"/>
              <w:marTop w:val="0"/>
              <w:marBottom w:val="0"/>
              <w:divBdr>
                <w:top w:val="none" w:sz="0" w:space="0" w:color="auto"/>
                <w:left w:val="none" w:sz="0" w:space="0" w:color="auto"/>
                <w:bottom w:val="none" w:sz="0" w:space="0" w:color="auto"/>
                <w:right w:val="none" w:sz="0" w:space="0" w:color="auto"/>
              </w:divBdr>
              <w:divsChild>
                <w:div w:id="619653970">
                  <w:marLeft w:val="0"/>
                  <w:marRight w:val="0"/>
                  <w:marTop w:val="0"/>
                  <w:marBottom w:val="0"/>
                  <w:divBdr>
                    <w:top w:val="none" w:sz="0" w:space="0" w:color="auto"/>
                    <w:left w:val="none" w:sz="0" w:space="0" w:color="auto"/>
                    <w:bottom w:val="none" w:sz="0" w:space="0" w:color="auto"/>
                    <w:right w:val="none" w:sz="0" w:space="0" w:color="auto"/>
                  </w:divBdr>
                  <w:divsChild>
                    <w:div w:id="3698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426">
      <w:bodyDiv w:val="1"/>
      <w:marLeft w:val="0"/>
      <w:marRight w:val="0"/>
      <w:marTop w:val="0"/>
      <w:marBottom w:val="0"/>
      <w:divBdr>
        <w:top w:val="none" w:sz="0" w:space="0" w:color="auto"/>
        <w:left w:val="none" w:sz="0" w:space="0" w:color="auto"/>
        <w:bottom w:val="none" w:sz="0" w:space="0" w:color="auto"/>
        <w:right w:val="none" w:sz="0" w:space="0" w:color="auto"/>
      </w:divBdr>
      <w:divsChild>
        <w:div w:id="901453900">
          <w:marLeft w:val="0"/>
          <w:marRight w:val="0"/>
          <w:marTop w:val="0"/>
          <w:marBottom w:val="0"/>
          <w:divBdr>
            <w:top w:val="none" w:sz="0" w:space="0" w:color="auto"/>
            <w:left w:val="none" w:sz="0" w:space="0" w:color="auto"/>
            <w:bottom w:val="none" w:sz="0" w:space="0" w:color="auto"/>
            <w:right w:val="none" w:sz="0" w:space="0" w:color="auto"/>
          </w:divBdr>
          <w:divsChild>
            <w:div w:id="805051315">
              <w:marLeft w:val="0"/>
              <w:marRight w:val="0"/>
              <w:marTop w:val="0"/>
              <w:marBottom w:val="0"/>
              <w:divBdr>
                <w:top w:val="none" w:sz="0" w:space="0" w:color="auto"/>
                <w:left w:val="none" w:sz="0" w:space="0" w:color="auto"/>
                <w:bottom w:val="none" w:sz="0" w:space="0" w:color="auto"/>
                <w:right w:val="none" w:sz="0" w:space="0" w:color="auto"/>
              </w:divBdr>
              <w:divsChild>
                <w:div w:id="1734624319">
                  <w:marLeft w:val="0"/>
                  <w:marRight w:val="0"/>
                  <w:marTop w:val="0"/>
                  <w:marBottom w:val="0"/>
                  <w:divBdr>
                    <w:top w:val="none" w:sz="0" w:space="0" w:color="auto"/>
                    <w:left w:val="none" w:sz="0" w:space="0" w:color="auto"/>
                    <w:bottom w:val="none" w:sz="0" w:space="0" w:color="auto"/>
                    <w:right w:val="none" w:sz="0" w:space="0" w:color="auto"/>
                  </w:divBdr>
                  <w:divsChild>
                    <w:div w:id="12200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4851">
      <w:bodyDiv w:val="1"/>
      <w:marLeft w:val="0"/>
      <w:marRight w:val="0"/>
      <w:marTop w:val="0"/>
      <w:marBottom w:val="0"/>
      <w:divBdr>
        <w:top w:val="none" w:sz="0" w:space="0" w:color="auto"/>
        <w:left w:val="none" w:sz="0" w:space="0" w:color="auto"/>
        <w:bottom w:val="none" w:sz="0" w:space="0" w:color="auto"/>
        <w:right w:val="none" w:sz="0" w:space="0" w:color="auto"/>
      </w:divBdr>
      <w:divsChild>
        <w:div w:id="538863200">
          <w:marLeft w:val="0"/>
          <w:marRight w:val="0"/>
          <w:marTop w:val="0"/>
          <w:marBottom w:val="0"/>
          <w:divBdr>
            <w:top w:val="none" w:sz="0" w:space="0" w:color="auto"/>
            <w:left w:val="none" w:sz="0" w:space="0" w:color="auto"/>
            <w:bottom w:val="none" w:sz="0" w:space="0" w:color="auto"/>
            <w:right w:val="none" w:sz="0" w:space="0" w:color="auto"/>
          </w:divBdr>
          <w:divsChild>
            <w:div w:id="1966883168">
              <w:marLeft w:val="0"/>
              <w:marRight w:val="0"/>
              <w:marTop w:val="0"/>
              <w:marBottom w:val="0"/>
              <w:divBdr>
                <w:top w:val="none" w:sz="0" w:space="0" w:color="auto"/>
                <w:left w:val="none" w:sz="0" w:space="0" w:color="auto"/>
                <w:bottom w:val="none" w:sz="0" w:space="0" w:color="auto"/>
                <w:right w:val="none" w:sz="0" w:space="0" w:color="auto"/>
              </w:divBdr>
              <w:divsChild>
                <w:div w:id="2017464534">
                  <w:marLeft w:val="0"/>
                  <w:marRight w:val="0"/>
                  <w:marTop w:val="0"/>
                  <w:marBottom w:val="0"/>
                  <w:divBdr>
                    <w:top w:val="none" w:sz="0" w:space="0" w:color="auto"/>
                    <w:left w:val="none" w:sz="0" w:space="0" w:color="auto"/>
                    <w:bottom w:val="none" w:sz="0" w:space="0" w:color="auto"/>
                    <w:right w:val="none" w:sz="0" w:space="0" w:color="auto"/>
                  </w:divBdr>
                  <w:divsChild>
                    <w:div w:id="2132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7292">
      <w:bodyDiv w:val="1"/>
      <w:marLeft w:val="0"/>
      <w:marRight w:val="0"/>
      <w:marTop w:val="0"/>
      <w:marBottom w:val="0"/>
      <w:divBdr>
        <w:top w:val="none" w:sz="0" w:space="0" w:color="auto"/>
        <w:left w:val="none" w:sz="0" w:space="0" w:color="auto"/>
        <w:bottom w:val="none" w:sz="0" w:space="0" w:color="auto"/>
        <w:right w:val="none" w:sz="0" w:space="0" w:color="auto"/>
      </w:divBdr>
      <w:divsChild>
        <w:div w:id="1980836991">
          <w:marLeft w:val="0"/>
          <w:marRight w:val="0"/>
          <w:marTop w:val="0"/>
          <w:marBottom w:val="0"/>
          <w:divBdr>
            <w:top w:val="none" w:sz="0" w:space="0" w:color="auto"/>
            <w:left w:val="none" w:sz="0" w:space="0" w:color="auto"/>
            <w:bottom w:val="none" w:sz="0" w:space="0" w:color="auto"/>
            <w:right w:val="none" w:sz="0" w:space="0" w:color="auto"/>
          </w:divBdr>
          <w:divsChild>
            <w:div w:id="605581503">
              <w:marLeft w:val="0"/>
              <w:marRight w:val="0"/>
              <w:marTop w:val="0"/>
              <w:marBottom w:val="0"/>
              <w:divBdr>
                <w:top w:val="none" w:sz="0" w:space="0" w:color="auto"/>
                <w:left w:val="none" w:sz="0" w:space="0" w:color="auto"/>
                <w:bottom w:val="none" w:sz="0" w:space="0" w:color="auto"/>
                <w:right w:val="none" w:sz="0" w:space="0" w:color="auto"/>
              </w:divBdr>
              <w:divsChild>
                <w:div w:id="704139968">
                  <w:marLeft w:val="0"/>
                  <w:marRight w:val="0"/>
                  <w:marTop w:val="0"/>
                  <w:marBottom w:val="0"/>
                  <w:divBdr>
                    <w:top w:val="none" w:sz="0" w:space="0" w:color="auto"/>
                    <w:left w:val="none" w:sz="0" w:space="0" w:color="auto"/>
                    <w:bottom w:val="none" w:sz="0" w:space="0" w:color="auto"/>
                    <w:right w:val="none" w:sz="0" w:space="0" w:color="auto"/>
                  </w:divBdr>
                  <w:divsChild>
                    <w:div w:id="9593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4831">
      <w:bodyDiv w:val="1"/>
      <w:marLeft w:val="0"/>
      <w:marRight w:val="0"/>
      <w:marTop w:val="0"/>
      <w:marBottom w:val="0"/>
      <w:divBdr>
        <w:top w:val="none" w:sz="0" w:space="0" w:color="auto"/>
        <w:left w:val="none" w:sz="0" w:space="0" w:color="auto"/>
        <w:bottom w:val="none" w:sz="0" w:space="0" w:color="auto"/>
        <w:right w:val="none" w:sz="0" w:space="0" w:color="auto"/>
      </w:divBdr>
      <w:divsChild>
        <w:div w:id="1077242915">
          <w:marLeft w:val="0"/>
          <w:marRight w:val="0"/>
          <w:marTop w:val="0"/>
          <w:marBottom w:val="0"/>
          <w:divBdr>
            <w:top w:val="none" w:sz="0" w:space="0" w:color="auto"/>
            <w:left w:val="none" w:sz="0" w:space="0" w:color="auto"/>
            <w:bottom w:val="none" w:sz="0" w:space="0" w:color="auto"/>
            <w:right w:val="none" w:sz="0" w:space="0" w:color="auto"/>
          </w:divBdr>
          <w:divsChild>
            <w:div w:id="1264144384">
              <w:marLeft w:val="0"/>
              <w:marRight w:val="0"/>
              <w:marTop w:val="0"/>
              <w:marBottom w:val="0"/>
              <w:divBdr>
                <w:top w:val="none" w:sz="0" w:space="0" w:color="auto"/>
                <w:left w:val="none" w:sz="0" w:space="0" w:color="auto"/>
                <w:bottom w:val="none" w:sz="0" w:space="0" w:color="auto"/>
                <w:right w:val="none" w:sz="0" w:space="0" w:color="auto"/>
              </w:divBdr>
              <w:divsChild>
                <w:div w:id="1683167152">
                  <w:marLeft w:val="0"/>
                  <w:marRight w:val="0"/>
                  <w:marTop w:val="0"/>
                  <w:marBottom w:val="0"/>
                  <w:divBdr>
                    <w:top w:val="none" w:sz="0" w:space="0" w:color="auto"/>
                    <w:left w:val="none" w:sz="0" w:space="0" w:color="auto"/>
                    <w:bottom w:val="none" w:sz="0" w:space="0" w:color="auto"/>
                    <w:right w:val="none" w:sz="0" w:space="0" w:color="auto"/>
                  </w:divBdr>
                  <w:divsChild>
                    <w:div w:id="7467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87334">
      <w:bodyDiv w:val="1"/>
      <w:marLeft w:val="0"/>
      <w:marRight w:val="0"/>
      <w:marTop w:val="0"/>
      <w:marBottom w:val="0"/>
      <w:divBdr>
        <w:top w:val="none" w:sz="0" w:space="0" w:color="auto"/>
        <w:left w:val="none" w:sz="0" w:space="0" w:color="auto"/>
        <w:bottom w:val="none" w:sz="0" w:space="0" w:color="auto"/>
        <w:right w:val="none" w:sz="0" w:space="0" w:color="auto"/>
      </w:divBdr>
      <w:divsChild>
        <w:div w:id="943805818">
          <w:marLeft w:val="0"/>
          <w:marRight w:val="0"/>
          <w:marTop w:val="0"/>
          <w:marBottom w:val="0"/>
          <w:divBdr>
            <w:top w:val="none" w:sz="0" w:space="0" w:color="auto"/>
            <w:left w:val="none" w:sz="0" w:space="0" w:color="auto"/>
            <w:bottom w:val="none" w:sz="0" w:space="0" w:color="auto"/>
            <w:right w:val="none" w:sz="0" w:space="0" w:color="auto"/>
          </w:divBdr>
          <w:divsChild>
            <w:div w:id="1781487260">
              <w:marLeft w:val="0"/>
              <w:marRight w:val="0"/>
              <w:marTop w:val="0"/>
              <w:marBottom w:val="0"/>
              <w:divBdr>
                <w:top w:val="none" w:sz="0" w:space="0" w:color="auto"/>
                <w:left w:val="none" w:sz="0" w:space="0" w:color="auto"/>
                <w:bottom w:val="none" w:sz="0" w:space="0" w:color="auto"/>
                <w:right w:val="none" w:sz="0" w:space="0" w:color="auto"/>
              </w:divBdr>
              <w:divsChild>
                <w:div w:id="489640678">
                  <w:marLeft w:val="0"/>
                  <w:marRight w:val="0"/>
                  <w:marTop w:val="0"/>
                  <w:marBottom w:val="0"/>
                  <w:divBdr>
                    <w:top w:val="none" w:sz="0" w:space="0" w:color="auto"/>
                    <w:left w:val="none" w:sz="0" w:space="0" w:color="auto"/>
                    <w:bottom w:val="none" w:sz="0" w:space="0" w:color="auto"/>
                    <w:right w:val="none" w:sz="0" w:space="0" w:color="auto"/>
                  </w:divBdr>
                  <w:divsChild>
                    <w:div w:id="4562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9827">
      <w:bodyDiv w:val="1"/>
      <w:marLeft w:val="0"/>
      <w:marRight w:val="0"/>
      <w:marTop w:val="0"/>
      <w:marBottom w:val="0"/>
      <w:divBdr>
        <w:top w:val="none" w:sz="0" w:space="0" w:color="auto"/>
        <w:left w:val="none" w:sz="0" w:space="0" w:color="auto"/>
        <w:bottom w:val="none" w:sz="0" w:space="0" w:color="auto"/>
        <w:right w:val="none" w:sz="0" w:space="0" w:color="auto"/>
      </w:divBdr>
      <w:divsChild>
        <w:div w:id="2009478846">
          <w:marLeft w:val="0"/>
          <w:marRight w:val="0"/>
          <w:marTop w:val="0"/>
          <w:marBottom w:val="0"/>
          <w:divBdr>
            <w:top w:val="none" w:sz="0" w:space="0" w:color="auto"/>
            <w:left w:val="none" w:sz="0" w:space="0" w:color="auto"/>
            <w:bottom w:val="none" w:sz="0" w:space="0" w:color="auto"/>
            <w:right w:val="none" w:sz="0" w:space="0" w:color="auto"/>
          </w:divBdr>
          <w:divsChild>
            <w:div w:id="870455571">
              <w:marLeft w:val="0"/>
              <w:marRight w:val="0"/>
              <w:marTop w:val="0"/>
              <w:marBottom w:val="0"/>
              <w:divBdr>
                <w:top w:val="none" w:sz="0" w:space="0" w:color="auto"/>
                <w:left w:val="none" w:sz="0" w:space="0" w:color="auto"/>
                <w:bottom w:val="none" w:sz="0" w:space="0" w:color="auto"/>
                <w:right w:val="none" w:sz="0" w:space="0" w:color="auto"/>
              </w:divBdr>
              <w:divsChild>
                <w:div w:id="997458705">
                  <w:marLeft w:val="0"/>
                  <w:marRight w:val="0"/>
                  <w:marTop w:val="0"/>
                  <w:marBottom w:val="0"/>
                  <w:divBdr>
                    <w:top w:val="none" w:sz="0" w:space="0" w:color="auto"/>
                    <w:left w:val="none" w:sz="0" w:space="0" w:color="auto"/>
                    <w:bottom w:val="none" w:sz="0" w:space="0" w:color="auto"/>
                    <w:right w:val="none" w:sz="0" w:space="0" w:color="auto"/>
                  </w:divBdr>
                  <w:divsChild>
                    <w:div w:id="6189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11854">
      <w:bodyDiv w:val="1"/>
      <w:marLeft w:val="0"/>
      <w:marRight w:val="0"/>
      <w:marTop w:val="0"/>
      <w:marBottom w:val="0"/>
      <w:divBdr>
        <w:top w:val="none" w:sz="0" w:space="0" w:color="auto"/>
        <w:left w:val="none" w:sz="0" w:space="0" w:color="auto"/>
        <w:bottom w:val="none" w:sz="0" w:space="0" w:color="auto"/>
        <w:right w:val="none" w:sz="0" w:space="0" w:color="auto"/>
      </w:divBdr>
      <w:divsChild>
        <w:div w:id="74397285">
          <w:marLeft w:val="0"/>
          <w:marRight w:val="0"/>
          <w:marTop w:val="0"/>
          <w:marBottom w:val="0"/>
          <w:divBdr>
            <w:top w:val="none" w:sz="0" w:space="0" w:color="auto"/>
            <w:left w:val="none" w:sz="0" w:space="0" w:color="auto"/>
            <w:bottom w:val="none" w:sz="0" w:space="0" w:color="auto"/>
            <w:right w:val="none" w:sz="0" w:space="0" w:color="auto"/>
          </w:divBdr>
          <w:divsChild>
            <w:div w:id="119306799">
              <w:marLeft w:val="0"/>
              <w:marRight w:val="0"/>
              <w:marTop w:val="0"/>
              <w:marBottom w:val="0"/>
              <w:divBdr>
                <w:top w:val="none" w:sz="0" w:space="0" w:color="auto"/>
                <w:left w:val="none" w:sz="0" w:space="0" w:color="auto"/>
                <w:bottom w:val="none" w:sz="0" w:space="0" w:color="auto"/>
                <w:right w:val="none" w:sz="0" w:space="0" w:color="auto"/>
              </w:divBdr>
              <w:divsChild>
                <w:div w:id="1892107646">
                  <w:marLeft w:val="0"/>
                  <w:marRight w:val="0"/>
                  <w:marTop w:val="0"/>
                  <w:marBottom w:val="0"/>
                  <w:divBdr>
                    <w:top w:val="none" w:sz="0" w:space="0" w:color="auto"/>
                    <w:left w:val="none" w:sz="0" w:space="0" w:color="auto"/>
                    <w:bottom w:val="none" w:sz="0" w:space="0" w:color="auto"/>
                    <w:right w:val="none" w:sz="0" w:space="0" w:color="auto"/>
                  </w:divBdr>
                  <w:divsChild>
                    <w:div w:id="1645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29219">
      <w:bodyDiv w:val="1"/>
      <w:marLeft w:val="0"/>
      <w:marRight w:val="0"/>
      <w:marTop w:val="0"/>
      <w:marBottom w:val="0"/>
      <w:divBdr>
        <w:top w:val="none" w:sz="0" w:space="0" w:color="auto"/>
        <w:left w:val="none" w:sz="0" w:space="0" w:color="auto"/>
        <w:bottom w:val="none" w:sz="0" w:space="0" w:color="auto"/>
        <w:right w:val="none" w:sz="0" w:space="0" w:color="auto"/>
      </w:divBdr>
      <w:divsChild>
        <w:div w:id="332496687">
          <w:marLeft w:val="0"/>
          <w:marRight w:val="0"/>
          <w:marTop w:val="0"/>
          <w:marBottom w:val="0"/>
          <w:divBdr>
            <w:top w:val="none" w:sz="0" w:space="0" w:color="auto"/>
            <w:left w:val="none" w:sz="0" w:space="0" w:color="auto"/>
            <w:bottom w:val="none" w:sz="0" w:space="0" w:color="auto"/>
            <w:right w:val="none" w:sz="0" w:space="0" w:color="auto"/>
          </w:divBdr>
          <w:divsChild>
            <w:div w:id="1599362722">
              <w:marLeft w:val="0"/>
              <w:marRight w:val="0"/>
              <w:marTop w:val="0"/>
              <w:marBottom w:val="0"/>
              <w:divBdr>
                <w:top w:val="none" w:sz="0" w:space="0" w:color="auto"/>
                <w:left w:val="none" w:sz="0" w:space="0" w:color="auto"/>
                <w:bottom w:val="none" w:sz="0" w:space="0" w:color="auto"/>
                <w:right w:val="none" w:sz="0" w:space="0" w:color="auto"/>
              </w:divBdr>
              <w:divsChild>
                <w:div w:id="1525367929">
                  <w:marLeft w:val="0"/>
                  <w:marRight w:val="0"/>
                  <w:marTop w:val="0"/>
                  <w:marBottom w:val="0"/>
                  <w:divBdr>
                    <w:top w:val="none" w:sz="0" w:space="0" w:color="auto"/>
                    <w:left w:val="none" w:sz="0" w:space="0" w:color="auto"/>
                    <w:bottom w:val="none" w:sz="0" w:space="0" w:color="auto"/>
                    <w:right w:val="none" w:sz="0" w:space="0" w:color="auto"/>
                  </w:divBdr>
                  <w:divsChild>
                    <w:div w:id="17935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8882">
      <w:bodyDiv w:val="1"/>
      <w:marLeft w:val="0"/>
      <w:marRight w:val="0"/>
      <w:marTop w:val="0"/>
      <w:marBottom w:val="0"/>
      <w:divBdr>
        <w:top w:val="none" w:sz="0" w:space="0" w:color="auto"/>
        <w:left w:val="none" w:sz="0" w:space="0" w:color="auto"/>
        <w:bottom w:val="none" w:sz="0" w:space="0" w:color="auto"/>
        <w:right w:val="none" w:sz="0" w:space="0" w:color="auto"/>
      </w:divBdr>
      <w:divsChild>
        <w:div w:id="6102094">
          <w:marLeft w:val="0"/>
          <w:marRight w:val="0"/>
          <w:marTop w:val="0"/>
          <w:marBottom w:val="0"/>
          <w:divBdr>
            <w:top w:val="none" w:sz="0" w:space="0" w:color="auto"/>
            <w:left w:val="none" w:sz="0" w:space="0" w:color="auto"/>
            <w:bottom w:val="none" w:sz="0" w:space="0" w:color="auto"/>
            <w:right w:val="none" w:sz="0" w:space="0" w:color="auto"/>
          </w:divBdr>
          <w:divsChild>
            <w:div w:id="1977951611">
              <w:marLeft w:val="0"/>
              <w:marRight w:val="0"/>
              <w:marTop w:val="0"/>
              <w:marBottom w:val="0"/>
              <w:divBdr>
                <w:top w:val="none" w:sz="0" w:space="0" w:color="auto"/>
                <w:left w:val="none" w:sz="0" w:space="0" w:color="auto"/>
                <w:bottom w:val="none" w:sz="0" w:space="0" w:color="auto"/>
                <w:right w:val="none" w:sz="0" w:space="0" w:color="auto"/>
              </w:divBdr>
              <w:divsChild>
                <w:div w:id="1438134191">
                  <w:marLeft w:val="0"/>
                  <w:marRight w:val="0"/>
                  <w:marTop w:val="0"/>
                  <w:marBottom w:val="0"/>
                  <w:divBdr>
                    <w:top w:val="none" w:sz="0" w:space="0" w:color="auto"/>
                    <w:left w:val="none" w:sz="0" w:space="0" w:color="auto"/>
                    <w:bottom w:val="none" w:sz="0" w:space="0" w:color="auto"/>
                    <w:right w:val="none" w:sz="0" w:space="0" w:color="auto"/>
                  </w:divBdr>
                  <w:divsChild>
                    <w:div w:id="6629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67818">
      <w:bodyDiv w:val="1"/>
      <w:marLeft w:val="0"/>
      <w:marRight w:val="0"/>
      <w:marTop w:val="0"/>
      <w:marBottom w:val="0"/>
      <w:divBdr>
        <w:top w:val="none" w:sz="0" w:space="0" w:color="auto"/>
        <w:left w:val="none" w:sz="0" w:space="0" w:color="auto"/>
        <w:bottom w:val="none" w:sz="0" w:space="0" w:color="auto"/>
        <w:right w:val="none" w:sz="0" w:space="0" w:color="auto"/>
      </w:divBdr>
      <w:divsChild>
        <w:div w:id="660432258">
          <w:marLeft w:val="0"/>
          <w:marRight w:val="0"/>
          <w:marTop w:val="0"/>
          <w:marBottom w:val="0"/>
          <w:divBdr>
            <w:top w:val="none" w:sz="0" w:space="0" w:color="auto"/>
            <w:left w:val="none" w:sz="0" w:space="0" w:color="auto"/>
            <w:bottom w:val="none" w:sz="0" w:space="0" w:color="auto"/>
            <w:right w:val="none" w:sz="0" w:space="0" w:color="auto"/>
          </w:divBdr>
          <w:divsChild>
            <w:div w:id="233274084">
              <w:marLeft w:val="0"/>
              <w:marRight w:val="0"/>
              <w:marTop w:val="0"/>
              <w:marBottom w:val="0"/>
              <w:divBdr>
                <w:top w:val="none" w:sz="0" w:space="0" w:color="auto"/>
                <w:left w:val="none" w:sz="0" w:space="0" w:color="auto"/>
                <w:bottom w:val="none" w:sz="0" w:space="0" w:color="auto"/>
                <w:right w:val="none" w:sz="0" w:space="0" w:color="auto"/>
              </w:divBdr>
              <w:divsChild>
                <w:div w:id="1219779397">
                  <w:marLeft w:val="0"/>
                  <w:marRight w:val="0"/>
                  <w:marTop w:val="0"/>
                  <w:marBottom w:val="0"/>
                  <w:divBdr>
                    <w:top w:val="none" w:sz="0" w:space="0" w:color="auto"/>
                    <w:left w:val="none" w:sz="0" w:space="0" w:color="auto"/>
                    <w:bottom w:val="none" w:sz="0" w:space="0" w:color="auto"/>
                    <w:right w:val="none" w:sz="0" w:space="0" w:color="auto"/>
                  </w:divBdr>
                  <w:divsChild>
                    <w:div w:id="1030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25400">
      <w:bodyDiv w:val="1"/>
      <w:marLeft w:val="0"/>
      <w:marRight w:val="0"/>
      <w:marTop w:val="0"/>
      <w:marBottom w:val="0"/>
      <w:divBdr>
        <w:top w:val="none" w:sz="0" w:space="0" w:color="auto"/>
        <w:left w:val="none" w:sz="0" w:space="0" w:color="auto"/>
        <w:bottom w:val="none" w:sz="0" w:space="0" w:color="auto"/>
        <w:right w:val="none" w:sz="0" w:space="0" w:color="auto"/>
      </w:divBdr>
      <w:divsChild>
        <w:div w:id="2112310354">
          <w:marLeft w:val="0"/>
          <w:marRight w:val="0"/>
          <w:marTop w:val="0"/>
          <w:marBottom w:val="0"/>
          <w:divBdr>
            <w:top w:val="none" w:sz="0" w:space="0" w:color="auto"/>
            <w:left w:val="none" w:sz="0" w:space="0" w:color="auto"/>
            <w:bottom w:val="none" w:sz="0" w:space="0" w:color="auto"/>
            <w:right w:val="none" w:sz="0" w:space="0" w:color="auto"/>
          </w:divBdr>
          <w:divsChild>
            <w:div w:id="1266571870">
              <w:marLeft w:val="0"/>
              <w:marRight w:val="0"/>
              <w:marTop w:val="0"/>
              <w:marBottom w:val="0"/>
              <w:divBdr>
                <w:top w:val="none" w:sz="0" w:space="0" w:color="auto"/>
                <w:left w:val="none" w:sz="0" w:space="0" w:color="auto"/>
                <w:bottom w:val="none" w:sz="0" w:space="0" w:color="auto"/>
                <w:right w:val="none" w:sz="0" w:space="0" w:color="auto"/>
              </w:divBdr>
              <w:divsChild>
                <w:div w:id="711922855">
                  <w:marLeft w:val="0"/>
                  <w:marRight w:val="0"/>
                  <w:marTop w:val="0"/>
                  <w:marBottom w:val="0"/>
                  <w:divBdr>
                    <w:top w:val="none" w:sz="0" w:space="0" w:color="auto"/>
                    <w:left w:val="none" w:sz="0" w:space="0" w:color="auto"/>
                    <w:bottom w:val="none" w:sz="0" w:space="0" w:color="auto"/>
                    <w:right w:val="none" w:sz="0" w:space="0" w:color="auto"/>
                  </w:divBdr>
                  <w:divsChild>
                    <w:div w:id="1114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2.ncdhhs.gov/dhsr/ahc/hb834/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carter/Library/Group%20Containers/UBF8T346G9.Office/User%20Content.localized/Templates.localized/Letterhead%20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777AE5FDB934AAF19DEA0320E8CCB" ma:contentTypeVersion="9" ma:contentTypeDescription="Create a new document." ma:contentTypeScope="" ma:versionID="94ba914500bc530ea69fdb9b8ad9e9b6">
  <xsd:schema xmlns:xsd="http://www.w3.org/2001/XMLSchema" xmlns:xs="http://www.w3.org/2001/XMLSchema" xmlns:p="http://schemas.microsoft.com/office/2006/metadata/properties" xmlns:ns2="6e570fb3-45c7-4cfc-8b70-1dfea2568f50" xmlns:ns3="0e86131f-94a1-4a70-bc7c-129f14b5e0ad" targetNamespace="http://schemas.microsoft.com/office/2006/metadata/properties" ma:root="true" ma:fieldsID="066d52f819b6456f8d4ed4a683284710" ns2:_="" ns3:_="">
    <xsd:import namespace="6e570fb3-45c7-4cfc-8b70-1dfea2568f50"/>
    <xsd:import namespace="0e86131f-94a1-4a70-bc7c-129f14b5e0ad"/>
    <xsd:element name="properties">
      <xsd:complexType>
        <xsd:sequence>
          <xsd:element name="documentManagement">
            <xsd:complexType>
              <xsd:all>
                <xsd:element ref="ns2:SharedWithUsers" minOccurs="0"/>
                <xsd:element ref="ns2:SharedWithDetails" minOccurs="0"/>
                <xsd:element ref="ns3:Comment" minOccurs="0"/>
                <xsd:element ref="ns3:Final"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70fb3-45c7-4cfc-8b70-1dfea2568f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6131f-94a1-4a70-bc7c-129f14b5e0ad" elementFormDefault="qualified">
    <xsd:import namespace="http://schemas.microsoft.com/office/2006/documentManagement/types"/>
    <xsd:import namespace="http://schemas.microsoft.com/office/infopath/2007/PartnerControls"/>
    <xsd:element name="Comment" ma:index="10" nillable="true" ma:displayName="Comment" ma:internalName="Comment">
      <xsd:simpleType>
        <xsd:restriction base="dms:Text">
          <xsd:maxLength value="255"/>
        </xsd:restriction>
      </xsd:simpleType>
    </xsd:element>
    <xsd:element name="Final" ma:index="11" nillable="true" ma:displayName="Final" ma:internalName="Final">
      <xsd:simpleType>
        <xsd:restriction base="dms:Boolea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0e86131f-94a1-4a70-bc7c-129f14b5e0ad" xsi:nil="true"/>
    <Final xmlns="0e86131f-94a1-4a70-bc7c-129f14b5e0ad" xsi:nil="true"/>
  </documentManagement>
</p:properties>
</file>

<file path=customXml/itemProps1.xml><?xml version="1.0" encoding="utf-8"?>
<ds:datastoreItem xmlns:ds="http://schemas.openxmlformats.org/officeDocument/2006/customXml" ds:itemID="{6B6EC3E9-832B-4BCE-BCF8-EE31D636C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70fb3-45c7-4cfc-8b70-1dfea2568f50"/>
    <ds:schemaRef ds:uri="0e86131f-94a1-4a70-bc7c-129f14b5e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EC8F6-3DF4-4A51-87C5-D235FB47D09E}">
  <ds:schemaRefs>
    <ds:schemaRef ds:uri="http://schemas.microsoft.com/sharepoint/v3/contenttype/forms"/>
  </ds:schemaRefs>
</ds:datastoreItem>
</file>

<file path=customXml/itemProps3.xml><?xml version="1.0" encoding="utf-8"?>
<ds:datastoreItem xmlns:ds="http://schemas.openxmlformats.org/officeDocument/2006/customXml" ds:itemID="{EB848E27-F00E-4707-9CFE-ED90E3096364}">
  <ds:schemaRefs>
    <ds:schemaRef ds:uri="http://schemas.microsoft.com/office/2006/metadata/properties"/>
    <ds:schemaRef ds:uri="http://schemas.microsoft.com/office/infopath/2007/PartnerControls"/>
    <ds:schemaRef ds:uri="0e86131f-94a1-4a70-bc7c-129f14b5e0ad"/>
  </ds:schemaRefs>
</ds:datastoreItem>
</file>

<file path=docProps/app.xml><?xml version="1.0" encoding="utf-8"?>
<Properties xmlns="http://schemas.openxmlformats.org/officeDocument/2006/extended-properties" xmlns:vt="http://schemas.openxmlformats.org/officeDocument/2006/docPropsVTypes">
  <Template>Letterhead template_2018.dotx</Template>
  <TotalTime>0</TotalTime>
  <Pages>5</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Forge Communications</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Stephanie Strickland</cp:lastModifiedBy>
  <cp:revision>2</cp:revision>
  <dcterms:created xsi:type="dcterms:W3CDTF">2018-12-03T21:31:00Z</dcterms:created>
  <dcterms:modified xsi:type="dcterms:W3CDTF">2018-12-03T21:31:00Z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0x010100DD8777AE5FDB934AAF19DEA0320E8CCB</vt:lpwstr>
  </property>
</Properties>
</file>